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FC" w:rsidRPr="00A658E9" w:rsidRDefault="00A022FC" w:rsidP="007A6FC9">
      <w:pPr>
        <w:shd w:val="clear" w:color="auto" w:fill="FFFFFF"/>
        <w:jc w:val="center"/>
        <w:rPr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1.05pt" o:ole="">
            <v:imagedata r:id="rId9" o:title=""/>
          </v:shape>
          <o:OLEObject Type="Embed" ProgID="CorelDRAW.Graphic.14" ShapeID="_x0000_i1025" DrawAspect="Content" ObjectID="_1657008677" r:id="rId10"/>
        </w:object>
      </w:r>
    </w:p>
    <w:p w:rsidR="00A022FC" w:rsidRPr="00120493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20493">
        <w:rPr>
          <w:rFonts w:ascii="Times New Roman" w:hAnsi="Times New Roman"/>
          <w:b/>
          <w:sz w:val="20"/>
          <w:szCs w:val="20"/>
        </w:rPr>
        <w:t xml:space="preserve">ВОЛОГОДСКАЯ ОБЛАСТЬ  </w:t>
      </w:r>
    </w:p>
    <w:p w:rsidR="00A022FC" w:rsidRPr="00120493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20493">
        <w:rPr>
          <w:rFonts w:ascii="Times New Roman" w:hAnsi="Times New Roman"/>
          <w:b/>
          <w:sz w:val="20"/>
          <w:szCs w:val="20"/>
        </w:rPr>
        <w:t xml:space="preserve"> ГОРОД ЧЕРЕПОВЕЦ</w:t>
      </w:r>
    </w:p>
    <w:p w:rsidR="00A022FC" w:rsidRPr="00A658E9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22FC" w:rsidRPr="00120493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120493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A022FC" w:rsidRPr="00A658E9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A022FC" w:rsidRPr="00120493" w:rsidRDefault="00A022FC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120493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022FC" w:rsidRPr="00A658E9" w:rsidRDefault="00A022FC" w:rsidP="007A6F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2FC" w:rsidRPr="00A658E9" w:rsidRDefault="00A022FC" w:rsidP="007A6F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2FC" w:rsidRDefault="00A022FC" w:rsidP="007A6F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E2A" w:rsidRDefault="00A06F14" w:rsidP="007A6F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22.07.2020 № 2963</w:t>
      </w:r>
    </w:p>
    <w:p w:rsidR="004B0E2A" w:rsidRPr="00A658E9" w:rsidRDefault="004B0E2A" w:rsidP="007A6F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3B4" w:rsidRPr="00120493" w:rsidRDefault="003E13B4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4E95" w:rsidRPr="00120493" w:rsidRDefault="002B4E95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120493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2B4E95" w:rsidRPr="00120493" w:rsidRDefault="002B4E95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120493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2B4E95" w:rsidRPr="00120493" w:rsidRDefault="002B4E95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120493">
        <w:rPr>
          <w:rFonts w:ascii="Times New Roman" w:hAnsi="Times New Roman"/>
          <w:sz w:val="26"/>
          <w:szCs w:val="26"/>
        </w:rPr>
        <w:t>от 10.10.2013 № 4812</w:t>
      </w:r>
    </w:p>
    <w:p w:rsidR="002B4E95" w:rsidRPr="00120493" w:rsidRDefault="002B4E95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4E95" w:rsidRPr="00120493" w:rsidRDefault="002B4E95" w:rsidP="007A6F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4E95" w:rsidRPr="00120493" w:rsidRDefault="002B4E95" w:rsidP="007A6F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20493">
        <w:rPr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120493">
        <w:rPr>
          <w:sz w:val="26"/>
          <w:szCs w:val="26"/>
        </w:rPr>
        <w:t>ь</w:t>
      </w:r>
      <w:r w:rsidRPr="00120493">
        <w:rPr>
          <w:sz w:val="26"/>
          <w:szCs w:val="26"/>
        </w:rPr>
        <w:t>ных программ города и Методических указаний по разработке и реализации муниц</w:t>
      </w:r>
      <w:r w:rsidRPr="00120493">
        <w:rPr>
          <w:sz w:val="26"/>
          <w:szCs w:val="26"/>
        </w:rPr>
        <w:t>и</w:t>
      </w:r>
      <w:r w:rsidRPr="00120493">
        <w:rPr>
          <w:sz w:val="26"/>
          <w:szCs w:val="26"/>
        </w:rPr>
        <w:t>пальных программ города», в целях повышения эффективности бюджетных расходов</w:t>
      </w:r>
    </w:p>
    <w:p w:rsidR="002B4E95" w:rsidRPr="00120493" w:rsidRDefault="002B4E95" w:rsidP="007A6FC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6"/>
          <w:szCs w:val="26"/>
        </w:rPr>
      </w:pPr>
      <w:r w:rsidRPr="00120493">
        <w:rPr>
          <w:rStyle w:val="a4"/>
          <w:b w:val="0"/>
          <w:bCs w:val="0"/>
          <w:sz w:val="26"/>
          <w:szCs w:val="26"/>
        </w:rPr>
        <w:t>ПОСТАНОВЛЯЮ:</w:t>
      </w:r>
    </w:p>
    <w:p w:rsidR="00735228" w:rsidRDefault="002B4E95" w:rsidP="00020573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120493">
        <w:rPr>
          <w:sz w:val="26"/>
          <w:szCs w:val="26"/>
        </w:rPr>
        <w:t>Внести в муниципальную программу «Развитие земельно-имущественного комплекса города Череповца» на 2014 – 2022 годы, утвержденную постановлением мэрии города от 10.10.2013 № 4812 «Об утверждении муниципал</w:t>
      </w:r>
      <w:r w:rsidRPr="00120493">
        <w:rPr>
          <w:sz w:val="26"/>
          <w:szCs w:val="26"/>
        </w:rPr>
        <w:t>ь</w:t>
      </w:r>
      <w:r w:rsidRPr="00120493">
        <w:rPr>
          <w:sz w:val="26"/>
          <w:szCs w:val="26"/>
        </w:rPr>
        <w:t xml:space="preserve">ной программы «Развитие земельно-имущественного комплекса города Череповца» на 2014 – 2022 годы» (в редакции постановления мэрии города от </w:t>
      </w:r>
      <w:r w:rsidR="004B0E2A">
        <w:rPr>
          <w:sz w:val="26"/>
          <w:szCs w:val="26"/>
        </w:rPr>
        <w:t>21.04.2020</w:t>
      </w:r>
      <w:r w:rsidR="00F43ED9" w:rsidRPr="00120493">
        <w:rPr>
          <w:sz w:val="26"/>
          <w:szCs w:val="26"/>
        </w:rPr>
        <w:t xml:space="preserve"> №</w:t>
      </w:r>
      <w:r w:rsidR="00735228" w:rsidRPr="00120493">
        <w:rPr>
          <w:sz w:val="26"/>
          <w:szCs w:val="26"/>
        </w:rPr>
        <w:t xml:space="preserve"> </w:t>
      </w:r>
      <w:r w:rsidR="004B0E2A">
        <w:rPr>
          <w:sz w:val="26"/>
          <w:szCs w:val="26"/>
        </w:rPr>
        <w:t>1627</w:t>
      </w:r>
      <w:r w:rsidRPr="00120493">
        <w:rPr>
          <w:sz w:val="26"/>
          <w:szCs w:val="26"/>
        </w:rPr>
        <w:t xml:space="preserve">), следующие изменения: </w:t>
      </w:r>
    </w:p>
    <w:p w:rsidR="005F2412" w:rsidRDefault="001D1D25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223917" w:rsidRPr="00120493">
        <w:rPr>
          <w:sz w:val="26"/>
          <w:szCs w:val="26"/>
        </w:rPr>
        <w:t xml:space="preserve"> Паспорте муниципальной программы «Развитие земельно-имущественного комплекса города Череповца» на 2014 – 2022 годы</w:t>
      </w:r>
      <w:r w:rsidR="005F2412">
        <w:rPr>
          <w:sz w:val="26"/>
          <w:szCs w:val="26"/>
        </w:rPr>
        <w:t>:</w:t>
      </w:r>
    </w:p>
    <w:p w:rsidR="002158E8" w:rsidRDefault="004C2E76" w:rsidP="002158E8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C55B2A">
        <w:rPr>
          <w:sz w:val="26"/>
          <w:szCs w:val="26"/>
        </w:rPr>
        <w:t>1.</w:t>
      </w:r>
      <w:r w:rsidR="002158E8">
        <w:rPr>
          <w:sz w:val="26"/>
          <w:szCs w:val="26"/>
        </w:rPr>
        <w:t xml:space="preserve"> В разделе «Целевые индикаторы и показатели муниципальной пр</w:t>
      </w:r>
      <w:r w:rsidR="002158E8">
        <w:rPr>
          <w:sz w:val="26"/>
          <w:szCs w:val="26"/>
        </w:rPr>
        <w:t>о</w:t>
      </w:r>
      <w:r w:rsidR="002158E8">
        <w:rPr>
          <w:sz w:val="26"/>
          <w:szCs w:val="26"/>
        </w:rPr>
        <w:t>граммы» пункт 12 изложить в новой редакции:</w:t>
      </w:r>
    </w:p>
    <w:p w:rsidR="002158E8" w:rsidRPr="00816F52" w:rsidRDefault="002158E8" w:rsidP="002158E8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AD60A3">
        <w:rPr>
          <w:sz w:val="26"/>
          <w:szCs w:val="26"/>
        </w:rPr>
        <w:t>«12. Доля размещенных нестационарных объектов на территории города к общему количеству нестационарных объектов, предусмотренных схемой и дислок</w:t>
      </w:r>
      <w:r w:rsidRPr="00AD60A3">
        <w:rPr>
          <w:sz w:val="26"/>
          <w:szCs w:val="26"/>
        </w:rPr>
        <w:t>а</w:t>
      </w:r>
      <w:r w:rsidRPr="00AD60A3">
        <w:rPr>
          <w:sz w:val="26"/>
          <w:szCs w:val="26"/>
        </w:rPr>
        <w:t>цией, в отношении которых комитетом заключаются договоры о размещении нест</w:t>
      </w:r>
      <w:r w:rsidRPr="00AD60A3">
        <w:rPr>
          <w:sz w:val="26"/>
          <w:szCs w:val="26"/>
        </w:rPr>
        <w:t>а</w:t>
      </w:r>
      <w:r w:rsidRPr="00AD60A3">
        <w:rPr>
          <w:sz w:val="26"/>
          <w:szCs w:val="26"/>
        </w:rPr>
        <w:t>ционарного объекта».</w:t>
      </w:r>
    </w:p>
    <w:p w:rsidR="002158E8" w:rsidRDefault="00C55B2A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F2412">
        <w:rPr>
          <w:sz w:val="26"/>
          <w:szCs w:val="26"/>
        </w:rPr>
        <w:t>1.</w:t>
      </w:r>
      <w:r w:rsidR="002158E8">
        <w:rPr>
          <w:sz w:val="26"/>
          <w:szCs w:val="26"/>
        </w:rPr>
        <w:t>2</w:t>
      </w:r>
      <w:r w:rsidR="005F2412">
        <w:rPr>
          <w:sz w:val="26"/>
          <w:szCs w:val="26"/>
        </w:rPr>
        <w:t xml:space="preserve">. В разделе «Общий объем финансового обеспечения муниципальной </w:t>
      </w:r>
      <w:r w:rsidR="005F2412" w:rsidRPr="005F2412">
        <w:rPr>
          <w:sz w:val="26"/>
          <w:szCs w:val="26"/>
        </w:rPr>
        <w:t>программы»</w:t>
      </w:r>
      <w:r w:rsidR="002158E8">
        <w:rPr>
          <w:sz w:val="26"/>
          <w:szCs w:val="26"/>
        </w:rPr>
        <w:t>:</w:t>
      </w:r>
    </w:p>
    <w:p w:rsidR="002158E8" w:rsidRPr="002158E8" w:rsidRDefault="004C2E76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2158E8" w:rsidRPr="002158E8">
        <w:rPr>
          <w:sz w:val="26"/>
          <w:szCs w:val="26"/>
        </w:rPr>
        <w:t xml:space="preserve"> </w:t>
      </w:r>
      <w:r w:rsidR="002158E8">
        <w:rPr>
          <w:sz w:val="26"/>
          <w:szCs w:val="26"/>
        </w:rPr>
        <w:t>«</w:t>
      </w:r>
      <w:r w:rsidR="002158E8" w:rsidRPr="002158E8">
        <w:rPr>
          <w:sz w:val="26"/>
          <w:szCs w:val="26"/>
        </w:rPr>
        <w:t>882 715,9 тыс. руб.</w:t>
      </w:r>
      <w:r w:rsidR="002158E8">
        <w:rPr>
          <w:sz w:val="26"/>
          <w:szCs w:val="26"/>
        </w:rPr>
        <w:t>»</w:t>
      </w:r>
      <w:r w:rsidR="002158E8" w:rsidRPr="002158E8">
        <w:rPr>
          <w:sz w:val="26"/>
          <w:szCs w:val="26"/>
        </w:rPr>
        <w:t xml:space="preserve"> заменить </w:t>
      </w:r>
      <w:r>
        <w:rPr>
          <w:sz w:val="26"/>
          <w:szCs w:val="26"/>
        </w:rPr>
        <w:t>словами</w:t>
      </w:r>
      <w:r w:rsidR="002158E8" w:rsidRPr="002158E8">
        <w:rPr>
          <w:sz w:val="26"/>
          <w:szCs w:val="26"/>
        </w:rPr>
        <w:t xml:space="preserve"> «883 422,4 тыс.</w:t>
      </w:r>
      <w:r w:rsidRPr="002158E8">
        <w:rPr>
          <w:sz w:val="26"/>
          <w:szCs w:val="26"/>
        </w:rPr>
        <w:t> </w:t>
      </w:r>
      <w:r w:rsidR="002158E8" w:rsidRPr="002158E8">
        <w:rPr>
          <w:sz w:val="26"/>
          <w:szCs w:val="26"/>
        </w:rPr>
        <w:t>руб.»</w:t>
      </w:r>
      <w:r w:rsidR="00B84598">
        <w:rPr>
          <w:sz w:val="26"/>
          <w:szCs w:val="26"/>
        </w:rPr>
        <w:t>;</w:t>
      </w:r>
    </w:p>
    <w:p w:rsidR="005F2412" w:rsidRPr="002158E8" w:rsidRDefault="004C2E76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5F2412" w:rsidRPr="002158E8">
        <w:rPr>
          <w:sz w:val="26"/>
          <w:szCs w:val="26"/>
        </w:rPr>
        <w:t xml:space="preserve"> «56 467,7 тыс.</w:t>
      </w:r>
      <w:r w:rsidRPr="002158E8">
        <w:rPr>
          <w:sz w:val="26"/>
          <w:szCs w:val="26"/>
        </w:rPr>
        <w:t> </w:t>
      </w:r>
      <w:r w:rsidR="005F2412" w:rsidRPr="002158E8">
        <w:rPr>
          <w:sz w:val="26"/>
          <w:szCs w:val="26"/>
        </w:rPr>
        <w:t xml:space="preserve">руб.» заменить </w:t>
      </w:r>
      <w:r>
        <w:rPr>
          <w:sz w:val="26"/>
          <w:szCs w:val="26"/>
        </w:rPr>
        <w:t>словами</w:t>
      </w:r>
      <w:r w:rsidR="005F2412" w:rsidRPr="002158E8">
        <w:rPr>
          <w:sz w:val="26"/>
          <w:szCs w:val="26"/>
        </w:rPr>
        <w:t xml:space="preserve"> «57 174,2 тыс.</w:t>
      </w:r>
      <w:r w:rsidRPr="002158E8">
        <w:rPr>
          <w:sz w:val="26"/>
          <w:szCs w:val="26"/>
        </w:rPr>
        <w:t> </w:t>
      </w:r>
      <w:r w:rsidR="005F2412" w:rsidRPr="002158E8">
        <w:rPr>
          <w:sz w:val="26"/>
          <w:szCs w:val="26"/>
        </w:rPr>
        <w:t>руб.»</w:t>
      </w:r>
      <w:r w:rsidR="00B84598">
        <w:rPr>
          <w:sz w:val="26"/>
          <w:szCs w:val="26"/>
        </w:rPr>
        <w:t>.</w:t>
      </w:r>
    </w:p>
    <w:p w:rsidR="002158E8" w:rsidRDefault="005F2412" w:rsidP="005F2412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29615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5F2412">
        <w:rPr>
          <w:sz w:val="26"/>
          <w:szCs w:val="26"/>
        </w:rPr>
        <w:t xml:space="preserve">В разделе </w:t>
      </w:r>
      <w:bookmarkStart w:id="0" w:name="sub_1110"/>
      <w:r w:rsidRPr="005F2412">
        <w:rPr>
          <w:sz w:val="26"/>
          <w:szCs w:val="26"/>
        </w:rPr>
        <w:t>«Объем бюджетных ассигнований муниципальной пр</w:t>
      </w:r>
      <w:r w:rsidRPr="005F2412">
        <w:rPr>
          <w:sz w:val="26"/>
          <w:szCs w:val="26"/>
        </w:rPr>
        <w:t>о</w:t>
      </w:r>
      <w:r w:rsidRPr="005F2412">
        <w:rPr>
          <w:sz w:val="26"/>
          <w:szCs w:val="26"/>
        </w:rPr>
        <w:t>граммы за счет «собственных» средств городского бюджета</w:t>
      </w:r>
      <w:bookmarkEnd w:id="0"/>
      <w:r w:rsidRPr="005F2412">
        <w:rPr>
          <w:sz w:val="26"/>
          <w:szCs w:val="26"/>
        </w:rPr>
        <w:t>»</w:t>
      </w:r>
      <w:r w:rsidR="002158E8">
        <w:rPr>
          <w:sz w:val="26"/>
          <w:szCs w:val="26"/>
        </w:rPr>
        <w:t>:</w:t>
      </w:r>
    </w:p>
    <w:p w:rsidR="002158E8" w:rsidRPr="00115F0C" w:rsidRDefault="00F20617" w:rsidP="002158E8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2158E8" w:rsidRPr="00115F0C">
        <w:rPr>
          <w:sz w:val="26"/>
          <w:szCs w:val="26"/>
        </w:rPr>
        <w:t xml:space="preserve"> </w:t>
      </w:r>
      <w:r w:rsidR="00115F0C" w:rsidRPr="00115F0C">
        <w:rPr>
          <w:sz w:val="26"/>
          <w:szCs w:val="26"/>
        </w:rPr>
        <w:t>«881 615,1 </w:t>
      </w:r>
      <w:r w:rsidR="002158E8" w:rsidRPr="00115F0C">
        <w:rPr>
          <w:sz w:val="26"/>
          <w:szCs w:val="26"/>
        </w:rPr>
        <w:t xml:space="preserve">тыс. руб.» заменить </w:t>
      </w:r>
      <w:r>
        <w:rPr>
          <w:sz w:val="26"/>
          <w:szCs w:val="26"/>
        </w:rPr>
        <w:t>словами</w:t>
      </w:r>
      <w:r w:rsidR="002158E8" w:rsidRPr="00115F0C">
        <w:rPr>
          <w:sz w:val="26"/>
          <w:szCs w:val="26"/>
        </w:rPr>
        <w:t xml:space="preserve"> «</w:t>
      </w:r>
      <w:r w:rsidR="00115F0C" w:rsidRPr="00115F0C">
        <w:rPr>
          <w:sz w:val="26"/>
          <w:szCs w:val="26"/>
        </w:rPr>
        <w:t>882 321,6</w:t>
      </w:r>
      <w:r w:rsidR="002158E8" w:rsidRPr="00115F0C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="002158E8" w:rsidRPr="00115F0C">
        <w:rPr>
          <w:sz w:val="26"/>
          <w:szCs w:val="26"/>
        </w:rPr>
        <w:t>руб.»</w:t>
      </w:r>
      <w:r w:rsidR="00B84598">
        <w:rPr>
          <w:sz w:val="26"/>
          <w:szCs w:val="26"/>
        </w:rPr>
        <w:t>;</w:t>
      </w:r>
    </w:p>
    <w:p w:rsidR="005F2412" w:rsidRPr="00115F0C" w:rsidRDefault="00F20617" w:rsidP="005F2412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5F2412" w:rsidRPr="00115F0C">
        <w:rPr>
          <w:sz w:val="26"/>
          <w:szCs w:val="26"/>
        </w:rPr>
        <w:t xml:space="preserve"> «56</w:t>
      </w:r>
      <w:r w:rsidR="002158E8" w:rsidRPr="00115F0C">
        <w:rPr>
          <w:sz w:val="26"/>
          <w:szCs w:val="26"/>
        </w:rPr>
        <w:t> </w:t>
      </w:r>
      <w:r w:rsidR="005F2412" w:rsidRPr="00115F0C">
        <w:rPr>
          <w:sz w:val="26"/>
          <w:szCs w:val="26"/>
        </w:rPr>
        <w:t>467,7 тыс.</w:t>
      </w:r>
      <w:r>
        <w:rPr>
          <w:sz w:val="26"/>
          <w:szCs w:val="26"/>
        </w:rPr>
        <w:t xml:space="preserve"> </w:t>
      </w:r>
      <w:r w:rsidR="005F2412" w:rsidRPr="00115F0C">
        <w:rPr>
          <w:sz w:val="26"/>
          <w:szCs w:val="26"/>
        </w:rPr>
        <w:t xml:space="preserve">руб.» заменить </w:t>
      </w:r>
      <w:r>
        <w:rPr>
          <w:sz w:val="26"/>
          <w:szCs w:val="26"/>
        </w:rPr>
        <w:t>словами</w:t>
      </w:r>
      <w:r w:rsidR="005F2412" w:rsidRPr="00115F0C">
        <w:rPr>
          <w:sz w:val="26"/>
          <w:szCs w:val="26"/>
        </w:rPr>
        <w:t xml:space="preserve"> «57 174,2 тыс.</w:t>
      </w:r>
      <w:r>
        <w:rPr>
          <w:sz w:val="26"/>
          <w:szCs w:val="26"/>
        </w:rPr>
        <w:t xml:space="preserve"> </w:t>
      </w:r>
      <w:r w:rsidR="005F2412" w:rsidRPr="00115F0C">
        <w:rPr>
          <w:sz w:val="26"/>
          <w:szCs w:val="26"/>
        </w:rPr>
        <w:t>руб.»</w:t>
      </w:r>
    </w:p>
    <w:p w:rsidR="00C55B2A" w:rsidRDefault="00816F52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55B2A">
        <w:rPr>
          <w:sz w:val="26"/>
          <w:szCs w:val="26"/>
        </w:rPr>
        <w:t xml:space="preserve">В текстовой части </w:t>
      </w:r>
      <w:r w:rsidR="00C55B2A" w:rsidRPr="00120493">
        <w:rPr>
          <w:sz w:val="26"/>
          <w:szCs w:val="26"/>
        </w:rPr>
        <w:t>муниципальной программы «Развитие земельно-имущественного комплекса города Череповца» на 2014 – 2022 годы</w:t>
      </w:r>
      <w:r w:rsidR="00C55B2A">
        <w:rPr>
          <w:sz w:val="26"/>
          <w:szCs w:val="26"/>
        </w:rPr>
        <w:t>:</w:t>
      </w:r>
    </w:p>
    <w:p w:rsidR="00020573" w:rsidRDefault="00C55B2A" w:rsidP="00695561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1.2.1. </w:t>
      </w:r>
      <w:r w:rsidR="00020573" w:rsidRPr="00D65DA8">
        <w:rPr>
          <w:sz w:val="26"/>
          <w:szCs w:val="26"/>
        </w:rPr>
        <w:t>В разделе «Обоснование объема финансовых ресурсов, необходимых для реализации муниципальной программы»:</w:t>
      </w:r>
    </w:p>
    <w:p w:rsidR="00FE7110" w:rsidRDefault="00F20617" w:rsidP="00FE7110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FE7110" w:rsidRPr="002158E8">
        <w:rPr>
          <w:sz w:val="26"/>
          <w:szCs w:val="26"/>
        </w:rPr>
        <w:t xml:space="preserve"> </w:t>
      </w:r>
      <w:r w:rsidR="00FE7110">
        <w:rPr>
          <w:sz w:val="26"/>
          <w:szCs w:val="26"/>
        </w:rPr>
        <w:t>«</w:t>
      </w:r>
      <w:r w:rsidR="00FE7110" w:rsidRPr="002158E8">
        <w:rPr>
          <w:sz w:val="26"/>
          <w:szCs w:val="26"/>
        </w:rPr>
        <w:t>882 715,9 тыс. руб.</w:t>
      </w:r>
      <w:r w:rsidR="00FE7110">
        <w:rPr>
          <w:sz w:val="26"/>
          <w:szCs w:val="26"/>
        </w:rPr>
        <w:t>»</w:t>
      </w:r>
      <w:r w:rsidR="00FE7110" w:rsidRPr="002158E8">
        <w:rPr>
          <w:sz w:val="26"/>
          <w:szCs w:val="26"/>
        </w:rPr>
        <w:t xml:space="preserve"> заменить </w:t>
      </w:r>
      <w:r>
        <w:rPr>
          <w:sz w:val="26"/>
          <w:szCs w:val="26"/>
        </w:rPr>
        <w:t>словами</w:t>
      </w:r>
      <w:r w:rsidR="00FE7110" w:rsidRPr="002158E8">
        <w:rPr>
          <w:sz w:val="26"/>
          <w:szCs w:val="26"/>
        </w:rPr>
        <w:t xml:space="preserve"> «883 422,4 тыс.</w:t>
      </w:r>
      <w:r>
        <w:rPr>
          <w:sz w:val="26"/>
          <w:szCs w:val="26"/>
        </w:rPr>
        <w:t xml:space="preserve"> </w:t>
      </w:r>
      <w:r w:rsidR="00FE7110" w:rsidRPr="002158E8">
        <w:rPr>
          <w:sz w:val="26"/>
          <w:szCs w:val="26"/>
        </w:rPr>
        <w:t>руб.»</w:t>
      </w:r>
      <w:r w:rsidR="00B84598">
        <w:rPr>
          <w:sz w:val="26"/>
          <w:szCs w:val="26"/>
        </w:rPr>
        <w:t>;</w:t>
      </w:r>
    </w:p>
    <w:p w:rsidR="00FE7110" w:rsidRPr="002158E8" w:rsidRDefault="00F20617" w:rsidP="00FE7110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FE7110" w:rsidRPr="002158E8">
        <w:rPr>
          <w:sz w:val="26"/>
          <w:szCs w:val="26"/>
        </w:rPr>
        <w:t xml:space="preserve"> «56 467,7 тыс.</w:t>
      </w:r>
      <w:r>
        <w:rPr>
          <w:sz w:val="26"/>
          <w:szCs w:val="26"/>
        </w:rPr>
        <w:t xml:space="preserve"> </w:t>
      </w:r>
      <w:r w:rsidR="00FE7110" w:rsidRPr="002158E8">
        <w:rPr>
          <w:sz w:val="26"/>
          <w:szCs w:val="26"/>
        </w:rPr>
        <w:t xml:space="preserve">руб.» заменить </w:t>
      </w:r>
      <w:r>
        <w:rPr>
          <w:sz w:val="26"/>
          <w:szCs w:val="26"/>
        </w:rPr>
        <w:t>словами</w:t>
      </w:r>
      <w:r w:rsidR="00FE7110" w:rsidRPr="002158E8">
        <w:rPr>
          <w:sz w:val="26"/>
          <w:szCs w:val="26"/>
        </w:rPr>
        <w:t xml:space="preserve"> «57 174,2 тыс.</w:t>
      </w:r>
      <w:r>
        <w:rPr>
          <w:sz w:val="26"/>
          <w:szCs w:val="26"/>
        </w:rPr>
        <w:t xml:space="preserve"> </w:t>
      </w:r>
      <w:r w:rsidR="00FE7110" w:rsidRPr="002158E8">
        <w:rPr>
          <w:sz w:val="26"/>
          <w:szCs w:val="26"/>
        </w:rPr>
        <w:t>руб.»</w:t>
      </w:r>
      <w:r w:rsidR="00B84598">
        <w:rPr>
          <w:sz w:val="26"/>
          <w:szCs w:val="26"/>
        </w:rPr>
        <w:t>;</w:t>
      </w:r>
    </w:p>
    <w:p w:rsidR="00020573" w:rsidRPr="00D65DA8" w:rsidRDefault="00F20617" w:rsidP="001A4766">
      <w:pPr>
        <w:pStyle w:val="a3"/>
        <w:spacing w:before="0" w:beforeAutospacing="0" w:after="0" w:afterAutospacing="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020573" w:rsidRPr="00D65DA8">
        <w:rPr>
          <w:sz w:val="26"/>
          <w:szCs w:val="26"/>
        </w:rPr>
        <w:t xml:space="preserve"> «</w:t>
      </w:r>
      <w:r w:rsidR="004B0E2A" w:rsidRPr="00D65DA8">
        <w:rPr>
          <w:sz w:val="26"/>
          <w:szCs w:val="26"/>
        </w:rPr>
        <w:t xml:space="preserve">43 845,6 </w:t>
      </w:r>
      <w:r w:rsidR="00020573" w:rsidRPr="00D65DA8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="00020573" w:rsidRPr="00D65DA8">
        <w:rPr>
          <w:sz w:val="26"/>
          <w:szCs w:val="26"/>
        </w:rPr>
        <w:t xml:space="preserve">руб.», заменить </w:t>
      </w:r>
      <w:r>
        <w:rPr>
          <w:sz w:val="26"/>
          <w:szCs w:val="26"/>
        </w:rPr>
        <w:t>словами</w:t>
      </w:r>
      <w:r w:rsidR="00020573" w:rsidRPr="00D65DA8">
        <w:rPr>
          <w:sz w:val="26"/>
          <w:szCs w:val="26"/>
        </w:rPr>
        <w:t xml:space="preserve"> «</w:t>
      </w:r>
      <w:r w:rsidR="00FE7110">
        <w:rPr>
          <w:sz w:val="26"/>
          <w:szCs w:val="26"/>
        </w:rPr>
        <w:t>44 551,2</w:t>
      </w:r>
      <w:r w:rsidR="00020573" w:rsidRPr="00D65DA8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="00020573" w:rsidRPr="00D65DA8">
        <w:rPr>
          <w:sz w:val="26"/>
          <w:szCs w:val="26"/>
        </w:rPr>
        <w:t>руб.»</w:t>
      </w:r>
      <w:r w:rsidR="00B84598">
        <w:rPr>
          <w:sz w:val="26"/>
          <w:szCs w:val="26"/>
        </w:rPr>
        <w:t>;</w:t>
      </w:r>
    </w:p>
    <w:p w:rsidR="00020573" w:rsidRDefault="00F20617" w:rsidP="001A4766">
      <w:pPr>
        <w:pStyle w:val="a3"/>
        <w:spacing w:before="0" w:beforeAutospacing="0" w:after="0" w:afterAutospacing="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слова</w:t>
      </w:r>
      <w:r w:rsidR="00020573" w:rsidRPr="00D65DA8">
        <w:rPr>
          <w:sz w:val="26"/>
          <w:szCs w:val="26"/>
        </w:rPr>
        <w:t xml:space="preserve"> «</w:t>
      </w:r>
      <w:r w:rsidR="004B0E2A" w:rsidRPr="00D65DA8">
        <w:rPr>
          <w:sz w:val="26"/>
          <w:szCs w:val="26"/>
        </w:rPr>
        <w:t xml:space="preserve">16 124,9 </w:t>
      </w:r>
      <w:r w:rsidR="00020573" w:rsidRPr="00D65DA8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="00020573" w:rsidRPr="00D65DA8">
        <w:rPr>
          <w:sz w:val="26"/>
          <w:szCs w:val="26"/>
        </w:rPr>
        <w:t xml:space="preserve">руб.» заменить </w:t>
      </w:r>
      <w:r>
        <w:rPr>
          <w:sz w:val="26"/>
          <w:szCs w:val="26"/>
        </w:rPr>
        <w:t>словами</w:t>
      </w:r>
      <w:r w:rsidR="00020573" w:rsidRPr="00D65DA8">
        <w:rPr>
          <w:sz w:val="26"/>
          <w:szCs w:val="26"/>
        </w:rPr>
        <w:t xml:space="preserve"> «</w:t>
      </w:r>
      <w:r w:rsidR="004B0E2A" w:rsidRPr="00D65DA8">
        <w:rPr>
          <w:sz w:val="26"/>
          <w:szCs w:val="26"/>
        </w:rPr>
        <w:t>16 125,8</w:t>
      </w:r>
      <w:r w:rsidR="00020573" w:rsidRPr="00D65DA8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="00020573" w:rsidRPr="00D65DA8">
        <w:rPr>
          <w:sz w:val="26"/>
          <w:szCs w:val="26"/>
        </w:rPr>
        <w:t>руб.».</w:t>
      </w:r>
    </w:p>
    <w:p w:rsidR="003F19CB" w:rsidRDefault="00C55B2A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3F19CB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3F19CB">
        <w:rPr>
          <w:sz w:val="26"/>
          <w:szCs w:val="26"/>
        </w:rPr>
        <w:t xml:space="preserve"> В разделе «Методика </w:t>
      </w:r>
      <w:r w:rsidR="003F19CB" w:rsidRPr="00D64CAE">
        <w:rPr>
          <w:sz w:val="26"/>
          <w:szCs w:val="26"/>
        </w:rPr>
        <w:t>расчета значений целевых показателей (индик</w:t>
      </w:r>
      <w:r w:rsidR="003F19CB" w:rsidRPr="00D64CAE">
        <w:rPr>
          <w:sz w:val="26"/>
          <w:szCs w:val="26"/>
        </w:rPr>
        <w:t>а</w:t>
      </w:r>
      <w:r w:rsidR="003F19CB" w:rsidRPr="00D64CAE">
        <w:rPr>
          <w:sz w:val="26"/>
          <w:szCs w:val="26"/>
        </w:rPr>
        <w:t>торов) муниципальной программы</w:t>
      </w:r>
      <w:r w:rsidR="003F19CB">
        <w:rPr>
          <w:sz w:val="26"/>
          <w:szCs w:val="26"/>
        </w:rPr>
        <w:t xml:space="preserve"> пункт 12 изложить в новой редакции:</w:t>
      </w:r>
    </w:p>
    <w:p w:rsidR="003F19CB" w:rsidRPr="003F19CB" w:rsidRDefault="003F19CB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«12. </w:t>
      </w:r>
      <w:r w:rsidRPr="003F19CB">
        <w:rPr>
          <w:sz w:val="26"/>
          <w:szCs w:val="26"/>
        </w:rPr>
        <w:t>Доля размещенных нестационарных объектов на территории города к общему количеству нестационарных объектов, предусмотренных схемой и дислок</w:t>
      </w:r>
      <w:r w:rsidRPr="003F19CB">
        <w:rPr>
          <w:sz w:val="26"/>
          <w:szCs w:val="26"/>
        </w:rPr>
        <w:t>а</w:t>
      </w:r>
      <w:r w:rsidRPr="003F19CB">
        <w:rPr>
          <w:sz w:val="26"/>
          <w:szCs w:val="26"/>
        </w:rPr>
        <w:t>цией, в отношении которых комитетом заключаются договоры о размещении нест</w:t>
      </w:r>
      <w:r w:rsidRPr="003F19CB">
        <w:rPr>
          <w:sz w:val="26"/>
          <w:szCs w:val="26"/>
        </w:rPr>
        <w:t>а</w:t>
      </w:r>
      <w:r w:rsidR="00F20617">
        <w:rPr>
          <w:sz w:val="26"/>
          <w:szCs w:val="26"/>
        </w:rPr>
        <w:t>ционарного объекта</w:t>
      </w:r>
      <w:r w:rsidRPr="003F19CB">
        <w:rPr>
          <w:sz w:val="26"/>
          <w:szCs w:val="26"/>
        </w:rPr>
        <w:t xml:space="preserve"> - показатель, влияющий на исполнение плана по объему ненал</w:t>
      </w:r>
      <w:r w:rsidRPr="003F19CB">
        <w:rPr>
          <w:sz w:val="26"/>
          <w:szCs w:val="26"/>
        </w:rPr>
        <w:t>о</w:t>
      </w:r>
      <w:r w:rsidRPr="003F19CB">
        <w:rPr>
          <w:sz w:val="26"/>
          <w:szCs w:val="26"/>
        </w:rPr>
        <w:t>говых поступлений в бюджет.</w:t>
      </w:r>
    </w:p>
    <w:p w:rsidR="003F19CB" w:rsidRPr="003F19CB" w:rsidRDefault="003F19CB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3F19CB">
        <w:rPr>
          <w:sz w:val="26"/>
          <w:szCs w:val="26"/>
        </w:rPr>
        <w:t>Единица измерения: проценты.</w:t>
      </w:r>
    </w:p>
    <w:p w:rsidR="003F19CB" w:rsidRPr="003F19CB" w:rsidRDefault="003F19CB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3F19CB">
        <w:rPr>
          <w:sz w:val="26"/>
          <w:szCs w:val="26"/>
        </w:rPr>
        <w:t>Источник информации: схема размещения нестационарных торговых объе</w:t>
      </w:r>
      <w:r w:rsidRPr="003F19CB">
        <w:rPr>
          <w:sz w:val="26"/>
          <w:szCs w:val="26"/>
        </w:rPr>
        <w:t>к</w:t>
      </w:r>
      <w:r w:rsidRPr="003F19CB">
        <w:rPr>
          <w:sz w:val="26"/>
          <w:szCs w:val="26"/>
        </w:rPr>
        <w:t>тов на территории города Череповца, дислокация размещения нестационарных объе</w:t>
      </w:r>
      <w:r w:rsidRPr="003F19CB">
        <w:rPr>
          <w:sz w:val="26"/>
          <w:szCs w:val="26"/>
        </w:rPr>
        <w:t>к</w:t>
      </w:r>
      <w:r w:rsidRPr="003F19CB">
        <w:rPr>
          <w:sz w:val="26"/>
          <w:szCs w:val="26"/>
        </w:rPr>
        <w:t>тов по оказанию услуг населению на территории города, утвержденные постановл</w:t>
      </w:r>
      <w:r w:rsidRPr="003F19CB">
        <w:rPr>
          <w:sz w:val="26"/>
          <w:szCs w:val="26"/>
        </w:rPr>
        <w:t>е</w:t>
      </w:r>
      <w:r w:rsidRPr="003F19CB">
        <w:rPr>
          <w:sz w:val="26"/>
          <w:szCs w:val="26"/>
        </w:rPr>
        <w:t>ниями мэрии города (в редакции, действующей на период расчета показателя), де</w:t>
      </w:r>
      <w:r w:rsidRPr="003F19CB">
        <w:rPr>
          <w:sz w:val="26"/>
          <w:szCs w:val="26"/>
        </w:rPr>
        <w:t>й</w:t>
      </w:r>
      <w:r w:rsidRPr="003F19CB">
        <w:rPr>
          <w:sz w:val="26"/>
          <w:szCs w:val="26"/>
        </w:rPr>
        <w:t>ствующие/действовавшие договоры о размещении нестационарных объектов в отче</w:t>
      </w:r>
      <w:r w:rsidRPr="003F19CB">
        <w:rPr>
          <w:sz w:val="26"/>
          <w:szCs w:val="26"/>
        </w:rPr>
        <w:t>т</w:t>
      </w:r>
      <w:r w:rsidRPr="003F19CB">
        <w:rPr>
          <w:sz w:val="26"/>
          <w:szCs w:val="26"/>
        </w:rPr>
        <w:t>ном периоде.</w:t>
      </w:r>
    </w:p>
    <w:p w:rsidR="003F19CB" w:rsidRPr="003F19CB" w:rsidRDefault="003F19CB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3F19CB">
        <w:rPr>
          <w:sz w:val="26"/>
          <w:szCs w:val="26"/>
        </w:rPr>
        <w:t>Периодичность сбора данных - годовая.</w:t>
      </w:r>
    </w:p>
    <w:p w:rsidR="003F19CB" w:rsidRDefault="003F19CB" w:rsidP="003F19CB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3F19CB">
        <w:rPr>
          <w:sz w:val="26"/>
          <w:szCs w:val="26"/>
        </w:rPr>
        <w:t>Расчет показателя:</w:t>
      </w:r>
    </w:p>
    <w:p w:rsidR="00122096" w:rsidRPr="00F20617" w:rsidRDefault="00B51FF0" w:rsidP="00F20617">
      <w:pPr>
        <w:pStyle w:val="a3"/>
        <w:spacing w:before="0" w:beforeAutospacing="0" w:after="0" w:afterAutospacing="0"/>
        <w:ind w:firstLine="1069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нестац</m:t>
            </m:r>
            <m:r>
              <w:rPr>
                <w:rFonts w:ascii="Cambria Math" w:hAnsi="Cambria Math"/>
                <w:lang w:val="en-US"/>
              </w:rPr>
              <m:t>.</m:t>
            </m:r>
          </m:sub>
        </m:sSub>
        <m:r>
          <m:rPr>
            <m:nor/>
          </m:rPr>
          <w:rPr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N</m:t>
                </m:r>
              </m:e>
              <m:sub>
                <m:r>
                  <m:rPr>
                    <m:nor/>
                  </m:rPr>
                  <m:t>НОД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НО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 </m:t>
            </m:r>
          </m:den>
        </m:f>
        <m:r>
          <w:rPr>
            <w:rFonts w:ascii="Cambria Math" w:hAnsi="Cambria Math"/>
            <w:lang w:val="en-US"/>
          </w:rPr>
          <m:t>×100%</m:t>
        </m:r>
      </m:oMath>
      <w:r w:rsidR="00F20617" w:rsidRPr="00F20617">
        <w:rPr>
          <w:lang w:val="en-US"/>
        </w:rPr>
        <w:t>,</w:t>
      </w:r>
    </w:p>
    <w:p w:rsidR="00122096" w:rsidRDefault="00122096" w:rsidP="00122096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122096" w:rsidRPr="00122096" w:rsidRDefault="00122096" w:rsidP="00122096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R</w:t>
      </w:r>
      <w:proofErr w:type="spellStart"/>
      <w:r w:rsidRPr="00122096">
        <w:rPr>
          <w:sz w:val="26"/>
          <w:szCs w:val="26"/>
          <w:vertAlign w:val="subscript"/>
        </w:rPr>
        <w:t>нестац</w:t>
      </w:r>
      <w:proofErr w:type="spellEnd"/>
      <w:r w:rsidRPr="00122096">
        <w:rPr>
          <w:sz w:val="26"/>
          <w:szCs w:val="26"/>
          <w:vertAlign w:val="subscript"/>
        </w:rPr>
        <w:t>.</w:t>
      </w:r>
      <w:r w:rsidR="00B84598">
        <w:rPr>
          <w:sz w:val="26"/>
          <w:szCs w:val="26"/>
        </w:rPr>
        <w:t xml:space="preserve"> </w:t>
      </w:r>
      <w:r w:rsidR="00B84598" w:rsidRPr="00B84598">
        <w:rPr>
          <w:sz w:val="26"/>
          <w:szCs w:val="26"/>
        </w:rPr>
        <w:t>–</w:t>
      </w:r>
      <w:r w:rsidRPr="00122096">
        <w:rPr>
          <w:sz w:val="26"/>
          <w:szCs w:val="26"/>
        </w:rPr>
        <w:t xml:space="preserve"> доля размещенных нестационарных объектов на территории города к общему количеству нестационарных объектов, предусмотренных схемой и дисл</w:t>
      </w:r>
      <w:r w:rsidRPr="00122096">
        <w:rPr>
          <w:sz w:val="26"/>
          <w:szCs w:val="26"/>
        </w:rPr>
        <w:t>о</w:t>
      </w:r>
      <w:r w:rsidRPr="00122096">
        <w:rPr>
          <w:sz w:val="26"/>
          <w:szCs w:val="26"/>
        </w:rPr>
        <w:t>кацией, в отношении которых комитетом заключаются договоры о размещении н</w:t>
      </w:r>
      <w:r w:rsidRPr="00122096">
        <w:rPr>
          <w:sz w:val="26"/>
          <w:szCs w:val="26"/>
        </w:rPr>
        <w:t>е</w:t>
      </w:r>
      <w:r w:rsidRPr="00122096">
        <w:rPr>
          <w:sz w:val="26"/>
          <w:szCs w:val="26"/>
        </w:rPr>
        <w:t>стационарного объекта,</w:t>
      </w:r>
    </w:p>
    <w:p w:rsidR="00122096" w:rsidRPr="00122096" w:rsidRDefault="007606A4" w:rsidP="00122096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122096">
        <w:rPr>
          <w:sz w:val="26"/>
          <w:szCs w:val="26"/>
        </w:rPr>
        <w:fldChar w:fldCharType="begin"/>
      </w:r>
      <w:r w:rsidR="00122096" w:rsidRPr="00122096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highlight w:val="gree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highlight w:val="gree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green"/>
              </w:rPr>
              <m:t>НОД</m:t>
            </m:r>
          </m:sub>
        </m:sSub>
      </m:oMath>
      <w:r w:rsidR="00122096" w:rsidRPr="00122096">
        <w:rPr>
          <w:sz w:val="26"/>
          <w:szCs w:val="26"/>
        </w:rPr>
        <w:instrText xml:space="preserve"> </w:instrText>
      </w:r>
      <w:r w:rsidRPr="00122096">
        <w:rPr>
          <w:sz w:val="26"/>
          <w:szCs w:val="26"/>
        </w:rPr>
        <w:fldChar w:fldCharType="separate"/>
      </w:r>
      <w:r w:rsidR="00122096">
        <w:rPr>
          <w:sz w:val="26"/>
          <w:szCs w:val="26"/>
          <w:lang w:val="en-US"/>
        </w:rPr>
        <w:t>N</w:t>
      </w:r>
      <w:r w:rsidR="00122096">
        <w:rPr>
          <w:sz w:val="26"/>
          <w:szCs w:val="26"/>
          <w:vertAlign w:val="subscript"/>
        </w:rPr>
        <w:t>НОД</w:t>
      </w:r>
      <w:r w:rsidRPr="00122096">
        <w:rPr>
          <w:sz w:val="26"/>
          <w:szCs w:val="26"/>
        </w:rPr>
        <w:fldChar w:fldCharType="end"/>
      </w:r>
      <w:r w:rsidR="00122096" w:rsidRPr="00122096">
        <w:rPr>
          <w:sz w:val="26"/>
          <w:szCs w:val="26"/>
        </w:rPr>
        <w:t xml:space="preserve"> – количество нестационарных объектов, в отношении которых в о</w:t>
      </w:r>
      <w:r w:rsidR="00122096" w:rsidRPr="00122096">
        <w:rPr>
          <w:sz w:val="26"/>
          <w:szCs w:val="26"/>
        </w:rPr>
        <w:t>т</w:t>
      </w:r>
      <w:r w:rsidR="00122096" w:rsidRPr="00122096">
        <w:rPr>
          <w:sz w:val="26"/>
          <w:szCs w:val="26"/>
        </w:rPr>
        <w:t>четном периоде действуют/действовали договоры о размещении нестационарного объекта, заключенны</w:t>
      </w:r>
      <w:r w:rsidR="00F20617">
        <w:rPr>
          <w:sz w:val="26"/>
          <w:szCs w:val="26"/>
        </w:rPr>
        <w:t>е</w:t>
      </w:r>
      <w:r w:rsidR="00122096" w:rsidRPr="00122096">
        <w:rPr>
          <w:sz w:val="26"/>
          <w:szCs w:val="26"/>
        </w:rPr>
        <w:t xml:space="preserve"> комитетом,</w:t>
      </w:r>
    </w:p>
    <w:p w:rsidR="00122096" w:rsidRPr="00122096" w:rsidRDefault="007606A4" w:rsidP="00122096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122096">
        <w:rPr>
          <w:sz w:val="26"/>
          <w:szCs w:val="26"/>
        </w:rPr>
        <w:fldChar w:fldCharType="begin"/>
      </w:r>
      <w:r w:rsidR="00122096" w:rsidRPr="00122096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highlight w:val="gree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highlight w:val="gree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green"/>
              </w:rPr>
              <m:t>НОД</m:t>
            </m:r>
          </m:sub>
        </m:sSub>
      </m:oMath>
      <w:r w:rsidR="00122096" w:rsidRPr="00122096">
        <w:rPr>
          <w:sz w:val="26"/>
          <w:szCs w:val="26"/>
        </w:rPr>
        <w:instrText xml:space="preserve"> </w:instrText>
      </w:r>
      <w:r w:rsidRPr="00122096">
        <w:rPr>
          <w:sz w:val="26"/>
          <w:szCs w:val="26"/>
        </w:rPr>
        <w:fldChar w:fldCharType="separate"/>
      </w:r>
      <w:proofErr w:type="gramStart"/>
      <w:r w:rsidR="00122096">
        <w:rPr>
          <w:sz w:val="26"/>
          <w:szCs w:val="26"/>
          <w:lang w:val="en-US"/>
        </w:rPr>
        <w:t>N</w:t>
      </w:r>
      <w:r w:rsidR="00122096">
        <w:rPr>
          <w:sz w:val="26"/>
          <w:szCs w:val="26"/>
          <w:vertAlign w:val="subscript"/>
        </w:rPr>
        <w:t>НО</w:t>
      </w:r>
      <w:r w:rsidRPr="00122096">
        <w:rPr>
          <w:sz w:val="26"/>
          <w:szCs w:val="26"/>
        </w:rPr>
        <w:fldChar w:fldCharType="end"/>
      </w:r>
      <w:r w:rsidR="00B84598">
        <w:rPr>
          <w:sz w:val="26"/>
          <w:szCs w:val="26"/>
        </w:rPr>
        <w:t xml:space="preserve"> </w:t>
      </w:r>
      <w:r w:rsidR="00B84598" w:rsidRPr="00B84598">
        <w:rPr>
          <w:sz w:val="26"/>
          <w:szCs w:val="26"/>
        </w:rPr>
        <w:t>–</w:t>
      </w:r>
      <w:r w:rsidR="00122096" w:rsidRPr="00122096">
        <w:rPr>
          <w:sz w:val="26"/>
          <w:szCs w:val="26"/>
        </w:rPr>
        <w:t xml:space="preserve"> общее количество нестационарных объектов, предусмотренных схемой и дислокацией, в отношении которых комитетом заключаются договоры о ра</w:t>
      </w:r>
      <w:r w:rsidR="00122096" w:rsidRPr="00122096">
        <w:rPr>
          <w:sz w:val="26"/>
          <w:szCs w:val="26"/>
        </w:rPr>
        <w:t>з</w:t>
      </w:r>
      <w:r w:rsidR="00122096" w:rsidRPr="00122096">
        <w:rPr>
          <w:sz w:val="26"/>
          <w:szCs w:val="26"/>
        </w:rPr>
        <w:t>мещении нестационарного объекта</w:t>
      </w:r>
      <w:r w:rsidR="002B04EA">
        <w:rPr>
          <w:sz w:val="26"/>
          <w:szCs w:val="26"/>
        </w:rPr>
        <w:t>».</w:t>
      </w:r>
      <w:proofErr w:type="gramEnd"/>
    </w:p>
    <w:p w:rsidR="009F5739" w:rsidRPr="00D65DA8" w:rsidRDefault="00287432" w:rsidP="00816F52">
      <w:pPr>
        <w:pStyle w:val="a3"/>
        <w:spacing w:before="0" w:beforeAutospacing="0" w:after="0" w:afterAutospacing="0"/>
        <w:ind w:left="1069"/>
        <w:jc w:val="both"/>
        <w:rPr>
          <w:sz w:val="26"/>
          <w:szCs w:val="26"/>
        </w:rPr>
      </w:pPr>
      <w:r w:rsidRPr="00D65DA8">
        <w:rPr>
          <w:sz w:val="26"/>
          <w:szCs w:val="26"/>
        </w:rPr>
        <w:t>1.</w:t>
      </w:r>
      <w:r w:rsidR="00C55B2A">
        <w:rPr>
          <w:sz w:val="26"/>
          <w:szCs w:val="26"/>
        </w:rPr>
        <w:t>3</w:t>
      </w:r>
      <w:r w:rsidR="007A6FC9" w:rsidRPr="00D65DA8">
        <w:rPr>
          <w:sz w:val="26"/>
          <w:szCs w:val="26"/>
        </w:rPr>
        <w:t>.</w:t>
      </w:r>
      <w:r w:rsidR="00735228" w:rsidRPr="00D65DA8">
        <w:rPr>
          <w:sz w:val="26"/>
          <w:szCs w:val="26"/>
        </w:rPr>
        <w:t xml:space="preserve"> Таблиц</w:t>
      </w:r>
      <w:r w:rsidR="003E73F5" w:rsidRPr="00D65DA8">
        <w:rPr>
          <w:sz w:val="26"/>
          <w:szCs w:val="26"/>
        </w:rPr>
        <w:t>ы</w:t>
      </w:r>
      <w:r w:rsidR="00735228" w:rsidRPr="00D65DA8">
        <w:rPr>
          <w:sz w:val="26"/>
          <w:szCs w:val="26"/>
        </w:rPr>
        <w:t xml:space="preserve"> </w:t>
      </w:r>
      <w:r w:rsidR="00577C7D">
        <w:rPr>
          <w:sz w:val="26"/>
          <w:szCs w:val="26"/>
        </w:rPr>
        <w:t xml:space="preserve">1, </w:t>
      </w:r>
      <w:r w:rsidR="00A658E9" w:rsidRPr="00D65DA8">
        <w:rPr>
          <w:sz w:val="26"/>
          <w:szCs w:val="26"/>
        </w:rPr>
        <w:t>3,</w:t>
      </w:r>
      <w:r w:rsidRPr="00D65DA8">
        <w:rPr>
          <w:sz w:val="26"/>
          <w:szCs w:val="26"/>
        </w:rPr>
        <w:t xml:space="preserve"> </w:t>
      </w:r>
      <w:r w:rsidR="003E73F5" w:rsidRPr="00D65DA8">
        <w:rPr>
          <w:sz w:val="26"/>
          <w:szCs w:val="26"/>
        </w:rPr>
        <w:t>4</w:t>
      </w:r>
      <w:r w:rsidR="00735228" w:rsidRPr="00D65DA8">
        <w:rPr>
          <w:sz w:val="26"/>
          <w:szCs w:val="26"/>
        </w:rPr>
        <w:t xml:space="preserve"> </w:t>
      </w:r>
      <w:r w:rsidR="003E13B4" w:rsidRPr="00D65DA8">
        <w:rPr>
          <w:sz w:val="26"/>
          <w:szCs w:val="26"/>
        </w:rPr>
        <w:t>изложить в новой редакции</w:t>
      </w:r>
      <w:r w:rsidR="009F5739" w:rsidRPr="00D65DA8">
        <w:rPr>
          <w:sz w:val="26"/>
          <w:szCs w:val="26"/>
        </w:rPr>
        <w:t xml:space="preserve"> (прилага</w:t>
      </w:r>
      <w:r w:rsidR="003E13B4" w:rsidRPr="00D65DA8">
        <w:rPr>
          <w:sz w:val="26"/>
          <w:szCs w:val="26"/>
        </w:rPr>
        <w:t>ю</w:t>
      </w:r>
      <w:r w:rsidR="009F5739" w:rsidRPr="00D65DA8">
        <w:rPr>
          <w:sz w:val="26"/>
          <w:szCs w:val="26"/>
        </w:rPr>
        <w:t>тся).</w:t>
      </w:r>
    </w:p>
    <w:p w:rsidR="001C2942" w:rsidRPr="001C2942" w:rsidRDefault="00287432" w:rsidP="001C2942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  <w:r w:rsidRPr="00D65DA8">
        <w:rPr>
          <w:sz w:val="26"/>
          <w:szCs w:val="26"/>
        </w:rPr>
        <w:t>2</w:t>
      </w:r>
      <w:r w:rsidR="002B4E95" w:rsidRPr="00D65DA8">
        <w:rPr>
          <w:sz w:val="26"/>
          <w:szCs w:val="26"/>
        </w:rPr>
        <w:t>.</w:t>
      </w:r>
      <w:r w:rsidR="006E0F8E" w:rsidRPr="00D65DA8">
        <w:rPr>
          <w:sz w:val="26"/>
          <w:szCs w:val="26"/>
        </w:rPr>
        <w:t xml:space="preserve"> </w:t>
      </w:r>
      <w:r w:rsidR="002B4E95" w:rsidRPr="00F02ECC">
        <w:rPr>
          <w:sz w:val="26"/>
          <w:szCs w:val="26"/>
        </w:rPr>
        <w:t xml:space="preserve">Постановление подлежит размещению на </w:t>
      </w:r>
      <w:r w:rsidR="001C2942" w:rsidRPr="001C2942">
        <w:rPr>
          <w:sz w:val="26"/>
          <w:szCs w:val="26"/>
        </w:rPr>
        <w:t>официальном интернет-портале правовой информации г. Череповца</w:t>
      </w:r>
      <w:r w:rsidR="001C2942">
        <w:rPr>
          <w:sz w:val="26"/>
          <w:szCs w:val="26"/>
        </w:rPr>
        <w:t>.</w:t>
      </w:r>
    </w:p>
    <w:p w:rsidR="002B4E95" w:rsidRPr="00F02ECC" w:rsidRDefault="002B4E95" w:rsidP="00F02ECC">
      <w:pPr>
        <w:pStyle w:val="a3"/>
        <w:spacing w:before="0" w:beforeAutospacing="0" w:after="0" w:afterAutospacing="0"/>
        <w:ind w:firstLine="1069"/>
        <w:jc w:val="both"/>
        <w:rPr>
          <w:sz w:val="26"/>
          <w:szCs w:val="26"/>
        </w:rPr>
      </w:pPr>
    </w:p>
    <w:p w:rsidR="00120493" w:rsidRDefault="00120493" w:rsidP="007A6F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</w:p>
    <w:p w:rsidR="00287432" w:rsidRPr="00A658E9" w:rsidRDefault="00287432" w:rsidP="007A6FC9">
      <w:pPr>
        <w:pStyle w:val="a3"/>
        <w:shd w:val="clear" w:color="auto" w:fill="FFFFFF"/>
        <w:tabs>
          <w:tab w:val="right" w:pos="9639"/>
        </w:tabs>
        <w:spacing w:before="0" w:beforeAutospacing="0" w:after="0" w:afterAutospacing="0"/>
        <w:rPr>
          <w:rStyle w:val="a4"/>
          <w:b w:val="0"/>
          <w:highlight w:val="yellow"/>
        </w:rPr>
      </w:pPr>
    </w:p>
    <w:p w:rsidR="002B4E95" w:rsidRPr="00120493" w:rsidRDefault="002B4E95" w:rsidP="00120493">
      <w:pPr>
        <w:pStyle w:val="a3"/>
        <w:shd w:val="clear" w:color="auto" w:fill="FFFFFF"/>
        <w:tabs>
          <w:tab w:val="right" w:pos="9639"/>
        </w:tabs>
        <w:spacing w:before="0" w:beforeAutospacing="0" w:after="0" w:afterAutospacing="0"/>
        <w:rPr>
          <w:sz w:val="26"/>
          <w:szCs w:val="26"/>
        </w:rPr>
        <w:sectPr w:rsidR="002B4E95" w:rsidRPr="00120493" w:rsidSect="003E73F5">
          <w:headerReference w:type="default" r:id="rId11"/>
          <w:footerReference w:type="default" r:id="rId12"/>
          <w:pgSz w:w="11905" w:h="16837"/>
          <w:pgMar w:top="510" w:right="567" w:bottom="709" w:left="1701" w:header="720" w:footer="720" w:gutter="0"/>
          <w:pgNumType w:start="1"/>
          <w:cols w:space="720"/>
          <w:titlePg/>
          <w:docGrid w:linePitch="299"/>
        </w:sectPr>
      </w:pPr>
      <w:r w:rsidRPr="00120493">
        <w:rPr>
          <w:rStyle w:val="a4"/>
          <w:b w:val="0"/>
          <w:bCs w:val="0"/>
          <w:sz w:val="26"/>
          <w:szCs w:val="26"/>
        </w:rPr>
        <w:t>Мэр города</w:t>
      </w:r>
      <w:r w:rsidR="00287432" w:rsidRPr="00120493">
        <w:rPr>
          <w:rStyle w:val="a4"/>
          <w:b w:val="0"/>
          <w:bCs w:val="0"/>
          <w:sz w:val="26"/>
          <w:szCs w:val="26"/>
        </w:rPr>
        <w:tab/>
      </w:r>
      <w:r w:rsidRPr="00120493">
        <w:rPr>
          <w:rStyle w:val="a4"/>
          <w:b w:val="0"/>
          <w:bCs w:val="0"/>
          <w:sz w:val="26"/>
          <w:szCs w:val="26"/>
        </w:rPr>
        <w:t>В.Е.</w:t>
      </w:r>
      <w:r w:rsidR="003E73F5" w:rsidRPr="00120493">
        <w:rPr>
          <w:rStyle w:val="a4"/>
          <w:b w:val="0"/>
          <w:bCs w:val="0"/>
          <w:sz w:val="26"/>
          <w:szCs w:val="26"/>
        </w:rPr>
        <w:t xml:space="preserve"> </w:t>
      </w:r>
      <w:r w:rsidRPr="00120493">
        <w:rPr>
          <w:rStyle w:val="a4"/>
          <w:b w:val="0"/>
          <w:bCs w:val="0"/>
          <w:sz w:val="26"/>
          <w:szCs w:val="26"/>
        </w:rPr>
        <w:t>Германов</w:t>
      </w:r>
    </w:p>
    <w:p w:rsidR="002B4E95" w:rsidRPr="00A658E9" w:rsidRDefault="002B4E95" w:rsidP="007A6FC9">
      <w:pPr>
        <w:pStyle w:val="a3"/>
        <w:shd w:val="clear" w:color="auto" w:fill="FFFFFF"/>
        <w:spacing w:before="0" w:beforeAutospacing="0" w:after="0" w:afterAutospacing="0"/>
        <w:ind w:left="10773"/>
        <w:jc w:val="both"/>
        <w:rPr>
          <w:rStyle w:val="a4"/>
          <w:b w:val="0"/>
        </w:rPr>
      </w:pPr>
      <w:r w:rsidRPr="00A658E9">
        <w:rPr>
          <w:rStyle w:val="a4"/>
          <w:b w:val="0"/>
        </w:rPr>
        <w:lastRenderedPageBreak/>
        <w:t>Приложение</w:t>
      </w:r>
    </w:p>
    <w:p w:rsidR="002B4E95" w:rsidRPr="00A658E9" w:rsidRDefault="002B4E95" w:rsidP="007A6FC9">
      <w:pPr>
        <w:pStyle w:val="a3"/>
        <w:shd w:val="clear" w:color="auto" w:fill="FFFFFF"/>
        <w:spacing w:before="0" w:beforeAutospacing="0" w:after="0" w:afterAutospacing="0"/>
        <w:ind w:left="10773"/>
        <w:jc w:val="both"/>
        <w:rPr>
          <w:rStyle w:val="a4"/>
          <w:b w:val="0"/>
        </w:rPr>
      </w:pPr>
      <w:r w:rsidRPr="00A658E9">
        <w:rPr>
          <w:rStyle w:val="a4"/>
          <w:b w:val="0"/>
        </w:rPr>
        <w:t>к постановлению мэрии города</w:t>
      </w:r>
    </w:p>
    <w:p w:rsidR="00D65DA8" w:rsidRDefault="002B4E95" w:rsidP="007A6FC9">
      <w:pPr>
        <w:pStyle w:val="a3"/>
        <w:shd w:val="clear" w:color="auto" w:fill="FFFFFF"/>
        <w:spacing w:before="0" w:beforeAutospacing="0" w:after="0" w:afterAutospacing="0"/>
        <w:ind w:left="10773"/>
        <w:jc w:val="both"/>
        <w:rPr>
          <w:rStyle w:val="a4"/>
          <w:b w:val="0"/>
        </w:rPr>
      </w:pPr>
      <w:r w:rsidRPr="00A658E9">
        <w:rPr>
          <w:rStyle w:val="a4"/>
          <w:b w:val="0"/>
        </w:rPr>
        <w:t xml:space="preserve">от </w:t>
      </w:r>
      <w:r w:rsidR="00A06F14">
        <w:rPr>
          <w:rStyle w:val="a4"/>
          <w:b w:val="0"/>
        </w:rPr>
        <w:t>22.07.2020</w:t>
      </w:r>
      <w:r w:rsidRPr="00A658E9">
        <w:rPr>
          <w:rStyle w:val="a4"/>
          <w:b w:val="0"/>
        </w:rPr>
        <w:t xml:space="preserve"> № </w:t>
      </w:r>
      <w:r w:rsidR="00A06F14">
        <w:rPr>
          <w:rStyle w:val="a4"/>
          <w:b w:val="0"/>
        </w:rPr>
        <w:t>2963</w:t>
      </w:r>
    </w:p>
    <w:p w:rsidR="00A06F14" w:rsidRPr="00A658E9" w:rsidRDefault="00A06F14" w:rsidP="007A6FC9">
      <w:pPr>
        <w:pStyle w:val="a3"/>
        <w:shd w:val="clear" w:color="auto" w:fill="FFFFFF"/>
        <w:spacing w:before="0" w:beforeAutospacing="0" w:after="0" w:afterAutospacing="0"/>
        <w:ind w:left="10773"/>
        <w:jc w:val="both"/>
        <w:rPr>
          <w:rStyle w:val="a4"/>
          <w:b w:val="0"/>
        </w:rPr>
      </w:pPr>
    </w:p>
    <w:p w:rsidR="00CB25E0" w:rsidRPr="00A658E9" w:rsidRDefault="00CB25E0" w:rsidP="00CB25E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</w:p>
    <w:p w:rsidR="00CB25E0" w:rsidRPr="00A658E9" w:rsidRDefault="00CB25E0" w:rsidP="00CB25E0">
      <w:pPr>
        <w:pStyle w:val="10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  <w:bookmarkStart w:id="1" w:name="_Hlk37151639"/>
      <w:r w:rsidRPr="00A658E9">
        <w:rPr>
          <w:b w:val="0"/>
          <w:sz w:val="24"/>
          <w:szCs w:val="24"/>
        </w:rPr>
        <w:t>Информация</w:t>
      </w:r>
      <w:r w:rsidRPr="00A658E9">
        <w:rPr>
          <w:b w:val="0"/>
          <w:sz w:val="24"/>
          <w:szCs w:val="24"/>
        </w:rPr>
        <w:br/>
        <w:t>о показателях (индикаторах) муниципальной программы и их значениях</w:t>
      </w:r>
    </w:p>
    <w:p w:rsidR="00CB25E0" w:rsidRDefault="00CB25E0" w:rsidP="00CB25E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9"/>
        <w:gridCol w:w="708"/>
        <w:gridCol w:w="925"/>
        <w:gridCol w:w="927"/>
        <w:gridCol w:w="928"/>
        <w:gridCol w:w="928"/>
        <w:gridCol w:w="928"/>
        <w:gridCol w:w="927"/>
        <w:gridCol w:w="928"/>
        <w:gridCol w:w="928"/>
        <w:gridCol w:w="1085"/>
        <w:gridCol w:w="992"/>
        <w:gridCol w:w="992"/>
        <w:gridCol w:w="1700"/>
      </w:tblGrid>
      <w:tr w:rsidR="00CB25E0" w:rsidRPr="005D4279" w:rsidTr="00CB25E0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CB25E0" w:rsidRPr="00BE2158" w:rsidRDefault="00CB25E0" w:rsidP="00BE215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215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E2158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_Hlk27378481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</w:t>
            </w:r>
          </w:p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индикатора </w:t>
            </w:r>
          </w:p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(показателя)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10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37151668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Взаимосвязь с городскими стратегическ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ми показател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ми</w:t>
            </w:r>
            <w:bookmarkEnd w:id="3"/>
          </w:p>
        </w:tc>
      </w:tr>
      <w:tr w:rsidR="00CB25E0" w:rsidRPr="005D4279" w:rsidTr="00CB25E0">
        <w:trPr>
          <w:trHeight w:val="497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Соответствие управл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ния муниципальным земельно-имущественным ко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плексом 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требованиям законодательства</w:t>
            </w:r>
            <w:r w:rsidRPr="005D4279">
              <w:rPr>
                <w:rStyle w:val="aff2"/>
                <w:rFonts w:ascii="Times New Roman" w:hAnsi="Times New Roman" w:cs="Times New Roman"/>
                <w:sz w:val="22"/>
                <w:szCs w:val="22"/>
              </w:rPr>
              <w:endnoteReference w:customMarkFollows="1" w:id="1"/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1.1 Соотве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ствие управл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ния муниц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пальным з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мельно-имущественным комплексом требованиям законодател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</w:p>
        </w:tc>
      </w:tr>
      <w:tr w:rsidR="00CB25E0" w:rsidRPr="005D4279" w:rsidTr="00CB25E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Количество объектов, включенных в реестр муниципального им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щества, в том числе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32939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32848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32730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32825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32920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67069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1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70799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2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70917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недвижимое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10995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10769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10747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10740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10730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16200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18071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17762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движимое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21944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22079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21983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22085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22190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50869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52728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53155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Количество единиц муниципального имущ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ства/услуг, приобрете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ных за счет городского бюджета с 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целью 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6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11/2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6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49/0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6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46/0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6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6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18/0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0/0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0/0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rPr>
          <w:trHeight w:val="4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</w:rPr>
            </w:pPr>
            <w:r w:rsidRPr="00BE215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Общая площадь объе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тов казны, не обрем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ненных правами трет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их лиц, в т.ч.  содерж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щихся за счёт средств городского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9113,3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27156,5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26000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25000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23500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79">
              <w:rPr>
                <w:rFonts w:ascii="Times New Roman" w:hAnsi="Times New Roman" w:cs="Times New Roman"/>
                <w:sz w:val="20"/>
                <w:szCs w:val="20"/>
              </w:rPr>
              <w:t>36492,0/ 33937,3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32000/ 29000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29111/ 28304,8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28600/ 27800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tabs>
                <w:tab w:val="center" w:pos="356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28100/</w:t>
            </w:r>
          </w:p>
          <w:p w:rsidR="00CB25E0" w:rsidRPr="005D4279" w:rsidRDefault="00CB25E0" w:rsidP="002158E8">
            <w:pPr>
              <w:pStyle w:val="af4"/>
              <w:widowControl/>
              <w:shd w:val="clear" w:color="auto" w:fill="FFFFFF"/>
              <w:tabs>
                <w:tab w:val="center" w:pos="356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27600/ 26800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1.6 Колич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ство объектов казны, соде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жащихся за счёт средств горо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ского бюджета</w:t>
            </w:r>
          </w:p>
        </w:tc>
      </w:tr>
      <w:tr w:rsidR="00CB25E0" w:rsidRPr="005D4279" w:rsidTr="00CB25E0">
        <w:trPr>
          <w:trHeight w:val="2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4" w:name="_Hlk37152357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Поступления в бюджет по неналоговым дох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дам</w:t>
            </w:r>
            <w:bookmarkEnd w:id="4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, в том числе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right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487747,6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right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452482,3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18"/>
                <w:szCs w:val="21"/>
              </w:rPr>
            </w:pPr>
            <w:r w:rsidRPr="005D4279">
              <w:rPr>
                <w:rFonts w:ascii="Times New Roman" w:hAnsi="Times New Roman"/>
                <w:sz w:val="18"/>
                <w:szCs w:val="21"/>
              </w:rPr>
              <w:t>458785,5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18"/>
                <w:szCs w:val="21"/>
              </w:rPr>
            </w:pPr>
            <w:r w:rsidRPr="005D4279">
              <w:rPr>
                <w:rFonts w:ascii="Times New Roman" w:hAnsi="Times New Roman"/>
                <w:sz w:val="18"/>
                <w:szCs w:val="21"/>
              </w:rPr>
              <w:t>495847,6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435666,5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520202,6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552919,2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431371,2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доходы 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родского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CB25E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Поступления по плат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жам за использование муниципального им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щества,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230045,7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299557,2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387645,4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18"/>
                <w:szCs w:val="21"/>
              </w:rPr>
            </w:pPr>
            <w:r w:rsidRPr="005D4279">
              <w:rPr>
                <w:rFonts w:ascii="Times New Roman" w:hAnsi="Times New Roman"/>
                <w:sz w:val="18"/>
                <w:szCs w:val="21"/>
              </w:rPr>
              <w:t>423262,6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385123,9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415448,9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461215,0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349669,8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аренда помещений и концессионные плат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жи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3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35635,4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39728,3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46809,4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30142,7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21758,7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18668,8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15113,6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13078,4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аренда земельных участков и плата за размещение временных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194410,3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259828,9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340836,0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5D4279">
              <w:rPr>
                <w:rFonts w:ascii="Times New Roman" w:hAnsi="Times New Roman"/>
                <w:sz w:val="18"/>
                <w:szCs w:val="21"/>
              </w:rPr>
              <w:t>393119,9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363365,2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396780,1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5D4279">
              <w:rPr>
                <w:rFonts w:ascii="Times New Roman" w:hAnsi="Times New Roman" w:cs="Times New Roman"/>
                <w:sz w:val="18"/>
                <w:szCs w:val="21"/>
              </w:rPr>
              <w:t>446101,0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336591,4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37152381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Выполнение плана по неналоговым доходам от использования им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щества</w:t>
            </w:r>
            <w:bookmarkEnd w:id="5"/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129,3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Hlk37152415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Процент поступлений по платежам за испол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зование 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го имущества</w:t>
            </w:r>
            <w:bookmarkEnd w:id="6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, в том числе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113,1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135,3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аренда помещений и концессионные плат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жи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4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124,7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144,5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BE2158" w:rsidRDefault="00CB25E0" w:rsidP="00BE2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аренда земельных участков и плата за размещение временных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134,0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7" w:name="_Hlk37152463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Реализация плана пр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ватизации муниципал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ного имущества</w:t>
            </w:r>
            <w:bookmarkEnd w:id="7"/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58,42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В 1.3 Стоимость имущества, подлежащего приватизации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8" w:name="_Hlk37152497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Количество выставле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ных на торги объектов</w:t>
            </w:r>
            <w:bookmarkEnd w:id="8"/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5"/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6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9" w:name="_Hlk37152520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Доля реализованных объектов продажи от </w:t>
            </w:r>
            <w:proofErr w:type="gramStart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числа</w:t>
            </w:r>
            <w:proofErr w:type="gramEnd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 выставленных на торги</w:t>
            </w:r>
            <w:bookmarkEnd w:id="9"/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10" w:name="_Hlk37152560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Количество заключе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ных договоров купли-продажи 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помещений с субъектами МСБ в порядке реализации пр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имущественного права выкупа согласно 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Фед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е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ральному закону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 от 22.07.2008 № 159-ФЗ</w:t>
            </w:r>
            <w:bookmarkEnd w:id="10"/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шт.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 xml:space="preserve">Доля налоговых поступлений от субъектов МСП </w:t>
            </w:r>
            <w:r w:rsidRPr="005D4279">
              <w:rPr>
                <w:rFonts w:ascii="Times New Roman" w:hAnsi="Times New Roman"/>
                <w:sz w:val="21"/>
                <w:szCs w:val="21"/>
              </w:rPr>
              <w:lastRenderedPageBreak/>
              <w:t>в налоговых доходах бюдж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та города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422D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422DB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BE215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_Hlk37152609"/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Доля </w:t>
            </w:r>
            <w:r w:rsidR="00BE2158">
              <w:rPr>
                <w:rFonts w:ascii="Times New Roman" w:hAnsi="Times New Roman" w:cs="Times New Roman"/>
                <w:bCs/>
                <w:sz w:val="21"/>
                <w:szCs w:val="21"/>
              </w:rPr>
              <w:t>размещенных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н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стационарных объектов на территории города к общему количеству нестационарных объе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к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тов, </w:t>
            </w:r>
            <w:r w:rsidR="00BE2158">
              <w:rPr>
                <w:rFonts w:ascii="Times New Roman" w:hAnsi="Times New Roman" w:cs="Times New Roman"/>
                <w:bCs/>
                <w:sz w:val="21"/>
                <w:szCs w:val="21"/>
              </w:rPr>
              <w:t>предусмотренных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схемой и дислокацией, в отношении которых</w:t>
            </w:r>
            <w:r w:rsidR="00BE215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комитетом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заключаю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ся договоры о размещ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bCs/>
                <w:sz w:val="21"/>
                <w:szCs w:val="21"/>
              </w:rPr>
              <w:t>нии нестационарного объекта</w:t>
            </w:r>
            <w:bookmarkEnd w:id="11"/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7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CB25E0" w:rsidRPr="005D4279" w:rsidRDefault="00CB25E0" w:rsidP="002158E8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Обеспеченность торговыми площадями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422D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1</w:t>
            </w:r>
            <w:r w:rsidR="00422DB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Доля удовлетворенных ходатайств о 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ставлении муниципал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ных помещений в п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рядке преференций для целей, установленных федеральным законод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тельством (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Федерал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ь</w:t>
            </w:r>
            <w:r w:rsidRPr="005D4279">
              <w:rPr>
                <w:rStyle w:val="a5"/>
                <w:color w:val="auto"/>
                <w:sz w:val="21"/>
                <w:szCs w:val="21"/>
              </w:rPr>
              <w:t>ный закон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 xml:space="preserve"> от 26.07.2006 № 135-ФЗ)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</w:tr>
      <w:tr w:rsidR="00CB25E0" w:rsidRPr="005D4279" w:rsidTr="00CB25E0">
        <w:trPr>
          <w:trHeight w:val="16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422D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422DB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Площадь земельных участков, предоста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ленных для строител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га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  <w:p w:rsidR="00CB25E0" w:rsidRPr="005D4279" w:rsidRDefault="00CB25E0" w:rsidP="002158E8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Площадь земельных учас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ков, предоста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ленных для ж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лищного стро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тельства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1</w:t>
            </w:r>
            <w:r w:rsidR="00422DB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Доля устраненных нарушений земельного законодательства к </w:t>
            </w:r>
            <w:proofErr w:type="gramStart"/>
            <w:r w:rsidRPr="005D427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выявленным</w:t>
            </w:r>
            <w:proofErr w:type="gramEnd"/>
            <w:r w:rsidRPr="005D427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при осуществлении муниц</w:t>
            </w:r>
            <w:r w:rsidRPr="005D427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пального земельного контрол</w:t>
            </w:r>
            <w:r w:rsidRPr="005D427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Pr="005D4279">
              <w:rPr>
                <w:rStyle w:val="ad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8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1.4 Доля нарушений правил использ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вания имущ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ственного ко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плекса города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bookmarkStart w:id="12" w:name="_Hlk37152640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Поступления в бюджет от использования рекламного простра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bookmarkEnd w:id="12"/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10890,9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10353,6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5220,1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7505,0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3375,0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19370,3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8 802,5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10551,8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 xml:space="preserve">Э2 Бюджетная </w:t>
            </w:r>
            <w:r w:rsidRPr="005D4279">
              <w:rPr>
                <w:rFonts w:ascii="Times New Roman" w:hAnsi="Times New Roman"/>
                <w:sz w:val="21"/>
                <w:szCs w:val="21"/>
              </w:rPr>
              <w:lastRenderedPageBreak/>
              <w:t>обеспеченность (направление расходов на 1 жителя города)</w:t>
            </w:r>
          </w:p>
        </w:tc>
      </w:tr>
      <w:tr w:rsidR="00CB25E0" w:rsidRPr="005D4279" w:rsidTr="00CB25E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422DB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Доля самовольно уст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новленных рекламных конструкций, прив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денных в соответствие с законодательством</w:t>
            </w:r>
            <w:r w:rsidRPr="005D4279">
              <w:rPr>
                <w:rStyle w:val="ad"/>
                <w:rFonts w:ascii="Times New Roman" w:hAnsi="Times New Roman" w:cs="Times New Roman"/>
                <w:sz w:val="21"/>
                <w:szCs w:val="21"/>
              </w:rPr>
              <w:footnoteReference w:id="9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3" w:name="_Hlk37152685"/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Количество собстве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ников объектов недв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жимости (для расчета земельного налога)</w:t>
            </w:r>
            <w:bookmarkEnd w:id="1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31499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19100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31388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pacing w:line="240" w:lineRule="auto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bookmarkStart w:id="14" w:name="_Hlk37152721"/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Количество выпо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ненных заявок на к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 xml:space="preserve">дастровые, топографо-геодезические и 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карт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 xml:space="preserve">графические работы </w:t>
            </w:r>
            <w:bookmarkEnd w:id="14"/>
            <w:r w:rsidRPr="005D4279">
              <w:rPr>
                <w:rStyle w:val="ad"/>
                <w:rFonts w:ascii="Times New Roman" w:hAnsi="Times New Roman" w:cs="Times New Roman"/>
                <w:sz w:val="22"/>
                <w:szCs w:val="22"/>
              </w:rPr>
              <w:footnoteReference w:id="1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238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1.1 Соотве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ствие управл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ния муниц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пальным з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мельно-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имущественным комплексом требованиям законодател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</w:p>
          <w:p w:rsidR="00CB25E0" w:rsidRPr="005D4279" w:rsidRDefault="00CB25E0" w:rsidP="002158E8">
            <w:pPr>
              <w:spacing w:line="240" w:lineRule="auto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bookmarkStart w:id="15" w:name="_Hlk37152736"/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Доля полномочий к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 xml:space="preserve">митета, исполняемых в </w:t>
            </w:r>
            <w:proofErr w:type="gramStart"/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полном</w:t>
            </w:r>
            <w:proofErr w:type="gramEnd"/>
            <w:r w:rsidRPr="005D4279">
              <w:rPr>
                <w:rFonts w:ascii="Times New Roman" w:hAnsi="Times New Roman" w:cs="Times New Roman"/>
                <w:sz w:val="22"/>
                <w:szCs w:val="22"/>
              </w:rPr>
              <w:t xml:space="preserve"> объеме</w:t>
            </w:r>
            <w:bookmarkEnd w:id="15"/>
            <w:r w:rsidRPr="005D42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shd w:val="clear" w:color="auto" w:fill="FFFFFF"/>
              <w:jc w:val="center"/>
            </w:pPr>
            <w:r w:rsidRPr="005D427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</w:pP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</w:rPr>
            </w:pPr>
            <w:r w:rsidRPr="00BE2158">
              <w:rPr>
                <w:rFonts w:ascii="Times New Roman" w:hAnsi="Times New Roman"/>
              </w:rPr>
              <w:t>2</w:t>
            </w:r>
            <w:r w:rsidR="00422DB0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_Hlk37152805"/>
            <w:r w:rsidRPr="005D4279">
              <w:rPr>
                <w:rFonts w:ascii="Times New Roman" w:hAnsi="Times New Roman"/>
                <w:sz w:val="22"/>
                <w:szCs w:val="22"/>
              </w:rPr>
              <w:t>Доля средств, затр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а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ченных на демонтаж самовольно устано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в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ленных рекламных конструкций, взыск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ваемых в порядке 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гресса</w:t>
            </w:r>
            <w:r w:rsidRPr="005D4279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bookmarkEnd w:id="16"/>
            <w:r w:rsidRPr="005D4279">
              <w:rPr>
                <w:rStyle w:val="ad"/>
                <w:rFonts w:ascii="Times New Roman" w:hAnsi="Times New Roman"/>
                <w:sz w:val="22"/>
                <w:szCs w:val="22"/>
              </w:rPr>
              <w:footnoteReference w:id="11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hd w:val="clear" w:color="auto" w:fill="FFFFFF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D4279">
              <w:rPr>
                <w:rFonts w:ascii="Times New Roman" w:hAnsi="Times New Roman"/>
                <w:sz w:val="21"/>
                <w:szCs w:val="21"/>
              </w:rPr>
              <w:t>В 1.1 Соотве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ствие управл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ния муниц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пальным з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мельно-имущественным комплексом требованиям законодател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ь</w:t>
            </w:r>
            <w:r w:rsidRPr="005D4279">
              <w:rPr>
                <w:rFonts w:ascii="Times New Roman" w:hAnsi="Times New Roman"/>
                <w:sz w:val="21"/>
                <w:szCs w:val="21"/>
              </w:rPr>
              <w:t>ства</w:t>
            </w:r>
          </w:p>
          <w:p w:rsidR="00CB25E0" w:rsidRPr="005D4279" w:rsidRDefault="00CB25E0" w:rsidP="002158E8">
            <w:pPr>
              <w:shd w:val="clear" w:color="auto" w:fill="FFFFFF"/>
            </w:pPr>
            <w:r w:rsidRPr="005D4279">
              <w:rPr>
                <w:rFonts w:ascii="Times New Roman" w:hAnsi="Times New Roman"/>
                <w:sz w:val="21"/>
                <w:szCs w:val="21"/>
              </w:rPr>
              <w:lastRenderedPageBreak/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</w:rPr>
            </w:pPr>
            <w:r w:rsidRPr="00BE2158">
              <w:rPr>
                <w:rFonts w:ascii="Times New Roman" w:hAnsi="Times New Roman"/>
              </w:rPr>
              <w:lastRenderedPageBreak/>
              <w:t>2</w:t>
            </w:r>
            <w:r w:rsidR="00422DB0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bookmarkStart w:id="17" w:name="_Hlk37152866"/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Поступления в бюджет по доходам, админ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стрируемым комит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том</w:t>
            </w:r>
            <w:bookmarkEnd w:id="1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ind w:left="-157" w:right="-108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79">
              <w:rPr>
                <w:rFonts w:ascii="Times New Roman" w:hAnsi="Times New Roman" w:cs="Times New Roman"/>
                <w:sz w:val="20"/>
                <w:szCs w:val="20"/>
              </w:rPr>
              <w:t>337 296,3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ind w:left="-157" w:right="-108" w:firstLine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79">
              <w:rPr>
                <w:rFonts w:ascii="Times New Roman" w:hAnsi="Times New Roman" w:cs="Times New Roman"/>
                <w:sz w:val="20"/>
                <w:szCs w:val="20"/>
              </w:rPr>
              <w:t>277 187,7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ind w:left="-157" w:right="-108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79">
              <w:rPr>
                <w:rFonts w:ascii="Times New Roman" w:hAnsi="Times New Roman" w:cs="Times New Roman"/>
                <w:sz w:val="20"/>
                <w:szCs w:val="20"/>
              </w:rPr>
              <w:t>272 675,8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pacing w:line="240" w:lineRule="auto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bookmarkStart w:id="18" w:name="_Hlk37152881"/>
            <w:r w:rsidRPr="005D4279">
              <w:rPr>
                <w:rFonts w:ascii="Times New Roman" w:hAnsi="Times New Roman"/>
                <w:sz w:val="22"/>
                <w:szCs w:val="22"/>
              </w:rPr>
              <w:t>Выполнение плана по доходам, администр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руемых комитетом</w:t>
            </w:r>
            <w:bookmarkEnd w:id="1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E0" w:rsidRPr="005D4279" w:rsidRDefault="00CB25E0" w:rsidP="002158E8">
            <w:pPr>
              <w:spacing w:after="0" w:line="240" w:lineRule="auto"/>
            </w:pP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bookmarkStart w:id="19" w:name="_Hlk37152911"/>
            <w:r w:rsidRPr="005D4279">
              <w:rPr>
                <w:rFonts w:ascii="Times New Roman" w:hAnsi="Times New Roman"/>
                <w:sz w:val="22"/>
                <w:szCs w:val="22"/>
              </w:rPr>
              <w:t>Доля объектов недв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жимости, в отношении которых направлены соглашения об изъятии для муниципальных нужд, подлежащие исполнению в тек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у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щем году</w:t>
            </w:r>
            <w:bookmarkEnd w:id="1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pacing w:line="240" w:lineRule="auto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</w:rPr>
            </w:pPr>
            <w:r w:rsidRPr="00BE2158">
              <w:rPr>
                <w:rFonts w:ascii="Times New Roman" w:hAnsi="Times New Roman"/>
              </w:rPr>
              <w:lastRenderedPageBreak/>
              <w:t>2</w:t>
            </w:r>
            <w:r w:rsidR="00422DB0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D4279">
              <w:rPr>
                <w:rFonts w:ascii="Times New Roman" w:hAnsi="Times New Roman"/>
                <w:sz w:val="22"/>
                <w:szCs w:val="22"/>
              </w:rPr>
              <w:t>Качество предоставл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ния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3.2 Уровень удовлетворе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ности заявит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лей качеством и доступностью предоставления муниципальных услуг</w:t>
            </w:r>
          </w:p>
        </w:tc>
      </w:tr>
      <w:tr w:rsidR="00CB25E0" w:rsidRPr="005D4279" w:rsidTr="00CB25E0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t>2</w:t>
            </w:r>
            <w:r w:rsidR="00422DB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D4279">
              <w:rPr>
                <w:rFonts w:ascii="Times New Roman" w:hAnsi="Times New Roman"/>
                <w:sz w:val="22"/>
                <w:szCs w:val="22"/>
              </w:rPr>
              <w:t>Доля числа граждан, имеющих трех и более детей, которым бе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с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платно предоставлены земельные участки (земельные сертиф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каты), в общем кол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честве граждан, вкл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ю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ченных в списки гра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ж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дан, имеющих право на приобретение з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 xml:space="preserve">мельных участков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1.5 Площадь земельных участков, предоставле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ных для стро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тельства; Т 1.3 Доля числа граждан, им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ющих трех и более детей, которым бесплатно пред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ставлены земельные учас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ки, в общем количестве гра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дан, включе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ных в списки граждан, им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ющих право на приобретение земельных участков</w:t>
            </w:r>
          </w:p>
        </w:tc>
      </w:tr>
      <w:tr w:rsidR="00CB25E0" w:rsidRPr="005D4279" w:rsidTr="00CB25E0">
        <w:trPr>
          <w:trHeight w:val="4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422DB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2158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="00422DB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bookmarkStart w:id="20" w:name="_Hlk37152951"/>
            <w:r w:rsidRPr="005D4279">
              <w:rPr>
                <w:rFonts w:ascii="Times New Roman" w:hAnsi="Times New Roman"/>
                <w:sz w:val="22"/>
                <w:szCs w:val="22"/>
              </w:rPr>
              <w:t>Доля вступивших в законную силу суде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б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ных актов, принятых в пользу комитета мат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риального/ нематер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ального характера</w:t>
            </w:r>
            <w:bookmarkEnd w:id="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90/75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Ф 2.1 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и неналог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вые доходы городского бю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жета</w:t>
            </w:r>
          </w:p>
          <w:p w:rsidR="00CB25E0" w:rsidRPr="005D4279" w:rsidRDefault="00CB25E0" w:rsidP="002158E8">
            <w:pPr>
              <w:spacing w:line="240" w:lineRule="auto"/>
            </w:pPr>
            <w:r w:rsidRPr="005D4279">
              <w:rPr>
                <w:rFonts w:ascii="Times New Roman" w:hAnsi="Times New Roman"/>
                <w:sz w:val="21"/>
                <w:szCs w:val="21"/>
              </w:rPr>
              <w:t>Э2 Бюджетная обеспеченность (направление расходов на 1 жителя города)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061F55" w:rsidP="00BE2158">
            <w:pPr>
              <w:jc w:val="center"/>
              <w:rPr>
                <w:rFonts w:ascii="Times New Roman" w:hAnsi="Times New Roman"/>
              </w:rPr>
            </w:pPr>
            <w:r w:rsidRPr="00BE2158">
              <w:rPr>
                <w:rFonts w:ascii="Times New Roman" w:hAnsi="Times New Roman"/>
              </w:rPr>
              <w:t>2</w:t>
            </w:r>
            <w:r w:rsidR="00422DB0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Доля удовлетворенных ходатайств по пред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о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ставлению во владение и пользование мун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ципального недвиж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  <w:lang w:eastAsia="en-US"/>
              </w:rPr>
              <w:t>мого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 xml:space="preserve"> имущества (н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жилые здания, пом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bCs/>
                <w:sz w:val="22"/>
                <w:szCs w:val="22"/>
              </w:rPr>
              <w:t>щения)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В 1.6 Колич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ство объектов казны, соде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жащихся за счет средств горо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ского бюджета</w:t>
            </w:r>
          </w:p>
        </w:tc>
      </w:tr>
      <w:tr w:rsidR="00CB25E0" w:rsidRPr="005D4279" w:rsidTr="00CB25E0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BE2158" w:rsidRDefault="00422DB0" w:rsidP="00BE2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D4279">
              <w:rPr>
                <w:rFonts w:ascii="Times New Roman" w:hAnsi="Times New Roman"/>
                <w:sz w:val="22"/>
                <w:szCs w:val="22"/>
              </w:rPr>
              <w:t>Доля зарегистрир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о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ванных объектов недвижимости, вкл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ю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ченных в реестр мун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и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ципального имущества от общего количества объектов недвижим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о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сти, включенных в р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>е</w:t>
            </w:r>
            <w:r w:rsidRPr="005D4279">
              <w:rPr>
                <w:rFonts w:ascii="Times New Roman" w:hAnsi="Times New Roman"/>
                <w:sz w:val="22"/>
                <w:szCs w:val="22"/>
              </w:rPr>
              <w:t xml:space="preserve">естр муниципального </w:t>
            </w:r>
            <w:r w:rsidRPr="005D4279">
              <w:rPr>
                <w:rFonts w:ascii="Times New Roman" w:hAnsi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2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E0" w:rsidRPr="005D4279" w:rsidRDefault="00CB25E0" w:rsidP="002158E8">
            <w:pPr>
              <w:pStyle w:val="af4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24,8</w:t>
            </w:r>
          </w:p>
          <w:p w:rsidR="00CB25E0" w:rsidRPr="005D4279" w:rsidRDefault="00CB25E0" w:rsidP="002158E8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E0" w:rsidRPr="005D4279" w:rsidRDefault="00CB25E0" w:rsidP="002158E8">
            <w:pPr>
              <w:pStyle w:val="af4"/>
              <w:shd w:val="clear" w:color="auto" w:fill="FFF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27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</w:tr>
    </w:tbl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25E0" w:rsidRDefault="00CB25E0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E2158" w:rsidRDefault="00BE2158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E2158" w:rsidRDefault="00BE2158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E2158" w:rsidRDefault="00BE2158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E2158" w:rsidRDefault="00BE2158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E5A1E" w:rsidRDefault="003E5A1E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  <w:sectPr w:rsidR="003E5A1E" w:rsidSect="00E34504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2B4E95" w:rsidRDefault="002B4E95" w:rsidP="007A6FC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2B4E95" w:rsidRPr="00A658E9" w:rsidRDefault="002B4E95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</w:t>
      </w:r>
    </w:p>
    <w:p w:rsidR="002B4E95" w:rsidRPr="00A658E9" w:rsidRDefault="002B4E95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t>за счет «собственных» средств городского бюджета (тыс. руб.)</w:t>
      </w:r>
    </w:p>
    <w:p w:rsidR="002B4E95" w:rsidRPr="00A658E9" w:rsidRDefault="002B4E95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71"/>
        <w:gridCol w:w="2531"/>
        <w:gridCol w:w="992"/>
        <w:gridCol w:w="1135"/>
        <w:gridCol w:w="1135"/>
        <w:gridCol w:w="1135"/>
        <w:gridCol w:w="973"/>
        <w:gridCol w:w="1136"/>
        <w:gridCol w:w="1136"/>
        <w:gridCol w:w="991"/>
        <w:gridCol w:w="1135"/>
      </w:tblGrid>
      <w:tr w:rsidR="00492379" w:rsidTr="00492379">
        <w:trPr>
          <w:trHeight w:val="41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21" w:name="_Hlk32487668"/>
            <w:r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ципальной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программы, основн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мероприятия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нитель, соисполнитель</w:t>
            </w:r>
          </w:p>
        </w:tc>
        <w:tc>
          <w:tcPr>
            <w:tcW w:w="9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(тыс. руб.), год</w:t>
            </w:r>
          </w:p>
        </w:tc>
      </w:tr>
      <w:tr w:rsidR="00492379" w:rsidTr="00492379">
        <w:trPr>
          <w:trHeight w:val="21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92379" w:rsidTr="008E3713">
        <w:trPr>
          <w:trHeight w:val="4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грамма «Развитие земельно-имущественного комплекса города Череповца» на 2014 – 2022 годы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75836,3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257476,3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123969,5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93689,1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82 861,7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C2057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57 174,2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44 928,6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41 977,5</w:t>
            </w:r>
          </w:p>
        </w:tc>
      </w:tr>
      <w:tr w:rsidR="00492379" w:rsidTr="00492379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нитель муниципальной программы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52519,5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229029,9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95275,8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65693,2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70 315,3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43 807,1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29 447,1</w:t>
            </w:r>
          </w:p>
        </w:tc>
      </w:tr>
      <w:tr w:rsidR="00492379" w:rsidTr="00492379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пальной программы 1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мэрия города (МКУ «ЦКО», МАУ «ЦМ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РиТ»)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7512,5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7084,6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10943,60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11993,1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12 546,4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C2057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13 367,10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12 459,5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12 530,4</w:t>
            </w:r>
          </w:p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492379" w:rsidTr="00492379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 программы 2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жилищно-коммунального хозя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ства мэрии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17750,1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16002,8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92379" w:rsidTr="008E3713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тие 1.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6"/>
              </w:rPr>
              <w:t>Формирование и обеспечение сохра</w:t>
            </w:r>
            <w:r>
              <w:rPr>
                <w:rFonts w:ascii="Times New Roman" w:hAnsi="Times New Roman"/>
                <w:szCs w:val="26"/>
              </w:rPr>
              <w:t>н</w:t>
            </w:r>
            <w:r>
              <w:rPr>
                <w:rFonts w:ascii="Times New Roman" w:hAnsi="Times New Roman"/>
                <w:szCs w:val="26"/>
              </w:rPr>
              <w:t>ности муниципал</w:t>
            </w:r>
            <w:r>
              <w:rPr>
                <w:rFonts w:ascii="Times New Roman" w:hAnsi="Times New Roman"/>
                <w:szCs w:val="26"/>
              </w:rPr>
              <w:t>ь</w:t>
            </w:r>
            <w:r>
              <w:rPr>
                <w:rFonts w:ascii="Times New Roman" w:hAnsi="Times New Roman"/>
                <w:szCs w:val="26"/>
              </w:rPr>
              <w:t>ного земельно-</w:t>
            </w:r>
            <w:r>
              <w:rPr>
                <w:rFonts w:ascii="Times New Roman" w:hAnsi="Times New Roman"/>
                <w:szCs w:val="26"/>
              </w:rPr>
              <w:lastRenderedPageBreak/>
              <w:t>имущественного комплекса</w:t>
            </w:r>
            <w:r>
              <w:rPr>
                <w:rStyle w:val="aff2"/>
                <w:rFonts w:ascii="Times New Roman" w:hAnsi="Times New Roman"/>
                <w:szCs w:val="26"/>
              </w:rPr>
              <w:endnoteReference w:customMarkFollows="1" w:id="2"/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71111,5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221860,8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92883,5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62893,7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53 898,0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нитель мероприятия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47794,7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39641,1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193414,4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64189,8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34897,8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41 351,6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8E3713">
        <w:trPr>
          <w:trHeight w:val="2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пальной программы 1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мэрия города (МКУ «ЦКО», МАУ «ЦМ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РиТ»)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7512,5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7084,6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10943,6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11993,1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12 546,4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8E371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2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пальной программы 2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жилищно-коммунального хозя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</w:rPr>
              <w:t>ства мэрии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17750,1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16002,8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тие 2.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Обеспечение посту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лений в доход 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жета от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и распоряжения земельно-имущественным комплексом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5158,3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2 939,3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нитель мероприятия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5158,3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2 939,3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8E3713">
        <w:trPr>
          <w:trHeight w:val="2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тие 3.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Обеспечение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нения полномочий органа местного самоуправления в области наружной </w:t>
            </w:r>
            <w:r>
              <w:rPr>
                <w:rFonts w:ascii="Times New Roman" w:hAnsi="Times New Roman"/>
                <w:color w:val="000000"/>
              </w:rPr>
              <w:lastRenderedPageBreak/>
              <w:t>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кламы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нитель мероприятия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2379" w:rsidTr="00492379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тие 4.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Обеспечение де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тельности комитета по управлению им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ществом</w:t>
            </w:r>
            <w:r>
              <w:rPr>
                <w:rStyle w:val="ad"/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footnoteReference w:id="12"/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34881,2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27015,1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25544,7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25 932,0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</w:pPr>
            <w:r>
              <w:rPr>
                <w:rFonts w:ascii="Times New Roman" w:hAnsi="Times New Roman"/>
              </w:rPr>
              <w:t>31 113,5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</w:pPr>
            <w:r>
              <w:rPr>
                <w:rFonts w:ascii="Times New Roman" w:hAnsi="Times New Roman"/>
              </w:rPr>
              <w:t>26144,9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</w:pPr>
            <w:r>
              <w:rPr>
                <w:rFonts w:ascii="Times New Roman" w:hAnsi="Times New Roman"/>
              </w:rPr>
              <w:t>26144,9</w:t>
            </w:r>
          </w:p>
        </w:tc>
      </w:tr>
      <w:tr w:rsidR="00492379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нитель мероприятия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34881,2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27015,1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25544,7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25 932,0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31 113,5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</w:pPr>
            <w:r>
              <w:rPr>
                <w:rFonts w:ascii="Times New Roman" w:hAnsi="Times New Roman"/>
              </w:rPr>
              <w:t>26144,9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</w:pPr>
            <w:r>
              <w:rPr>
                <w:rFonts w:ascii="Times New Roman" w:hAnsi="Times New Roman"/>
              </w:rPr>
              <w:t>26144,9</w:t>
            </w:r>
          </w:p>
        </w:tc>
      </w:tr>
      <w:tr w:rsidR="00492379" w:rsidTr="00492379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Cs w:val="20"/>
              </w:rPr>
              <w:t>тие 5. Организация проведения комплексных кадастр</w:t>
            </w:r>
            <w:r>
              <w:rPr>
                <w:rFonts w:ascii="Times New Roman" w:hAnsi="Times New Roman"/>
                <w:color w:val="00000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Cs w:val="20"/>
              </w:rPr>
              <w:t>вых работ в муниц</w:t>
            </w:r>
            <w:r>
              <w:rPr>
                <w:rFonts w:ascii="Times New Roman" w:hAnsi="Times New Roman"/>
                <w:color w:val="00000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Cs w:val="20"/>
              </w:rPr>
              <w:t>пальном образовании «Город Череповец»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92379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нитель мероприятия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0615F" w:rsidTr="008E3713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6.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Cs w:val="20"/>
              </w:rPr>
              <w:t>тие 6. Обеспечение выполнения отдел</w:t>
            </w:r>
            <w:r>
              <w:rPr>
                <w:rFonts w:ascii="Times New Roman" w:hAnsi="Times New Roman"/>
                <w:color w:val="00000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Cs w:val="20"/>
              </w:rPr>
              <w:t>ных полномочий по управлению имущ</w:t>
            </w:r>
            <w:r>
              <w:rPr>
                <w:rFonts w:ascii="Times New Roman" w:hAnsi="Times New Roman"/>
                <w:color w:val="00000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Cs w:val="20"/>
              </w:rPr>
              <w:t>ством.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8E3713">
            <w:pPr>
              <w:shd w:val="clear" w:color="auto" w:fill="FFFFFF"/>
              <w:tabs>
                <w:tab w:val="center" w:pos="115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Pr="00D64CAE" w:rsidRDefault="00F10EF1" w:rsidP="00D0615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20 276,8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13 648,2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10 626,2</w:t>
            </w:r>
          </w:p>
        </w:tc>
      </w:tr>
      <w:tr w:rsidR="00D0615F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нитель мероприятия 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Pr="00D64CAE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12 692,7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6324,2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3302,2</w:t>
            </w:r>
          </w:p>
        </w:tc>
      </w:tr>
      <w:tr w:rsidR="00D0615F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пальной программы 1 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мэрия города (МАУ «ЦМИРиТ»)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Pr="0074581D" w:rsidRDefault="00F10EF1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7 584,1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7 324,0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7 324,0</w:t>
            </w:r>
          </w:p>
        </w:tc>
      </w:tr>
      <w:bookmarkEnd w:id="21"/>
      <w:tr w:rsidR="00D0615F" w:rsidTr="008E3713">
        <w:trPr>
          <w:trHeight w:val="2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7.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color w:val="00000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тие 7. </w:t>
            </w:r>
            <w:r>
              <w:rPr>
                <w:rFonts w:ascii="Times New Roman" w:hAnsi="Times New Roman"/>
                <w:color w:val="000000"/>
              </w:rPr>
              <w:t>Содержание имущества казны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0615F" w:rsidRDefault="00D0615F" w:rsidP="00D06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Pr="00D64CAE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5 783,9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5135,5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5206,4</w:t>
            </w:r>
          </w:p>
        </w:tc>
      </w:tr>
      <w:tr w:rsidR="00D0615F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ответственный испо</w:t>
            </w:r>
            <w:r>
              <w:rPr>
                <w:rFonts w:ascii="Times New Roman" w:hAnsi="Times New Roman"/>
                <w:color w:val="00000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нитель мероприятия </w:t>
            </w:r>
          </w:p>
          <w:p w:rsidR="00D0615F" w:rsidRDefault="00D0615F" w:rsidP="00D061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0615F" w:rsidTr="00492379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5F" w:rsidRDefault="00D0615F" w:rsidP="00D0615F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8E3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соисполнитель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 программы 1 мэрия города (МКУ «ЦКО»)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Pr="00D64CAE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5 783,0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5135,5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15F" w:rsidRDefault="00D0615F" w:rsidP="00D061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5206,4</w:t>
            </w:r>
          </w:p>
        </w:tc>
      </w:tr>
    </w:tbl>
    <w:p w:rsidR="00936F73" w:rsidRPr="00A658E9" w:rsidRDefault="00936F73" w:rsidP="007A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504" w:rsidRPr="00A658E9" w:rsidRDefault="00E34504" w:rsidP="007A6FC9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E34504" w:rsidRPr="00A658E9" w:rsidSect="00E34504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2B4E95" w:rsidRPr="00A658E9" w:rsidRDefault="002B4E95" w:rsidP="007A6FC9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spacing w:after="0" w:line="240" w:lineRule="auto"/>
        <w:ind w:firstLine="13183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lastRenderedPageBreak/>
        <w:t>Таблица 4</w:t>
      </w:r>
    </w:p>
    <w:p w:rsidR="00E34504" w:rsidRPr="00A658E9" w:rsidRDefault="00E34504" w:rsidP="007A6FC9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spacing w:after="0" w:line="240" w:lineRule="auto"/>
        <w:ind w:firstLine="13183"/>
        <w:rPr>
          <w:rFonts w:ascii="Times New Roman" w:hAnsi="Times New Roman"/>
          <w:sz w:val="24"/>
          <w:szCs w:val="24"/>
        </w:rPr>
      </w:pPr>
    </w:p>
    <w:p w:rsidR="002B4E95" w:rsidRPr="00A658E9" w:rsidRDefault="002B4E95" w:rsidP="007A6FC9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2B4E95" w:rsidRPr="00A658E9" w:rsidRDefault="002B4E95" w:rsidP="007A6FC9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/>
          <w:sz w:val="24"/>
          <w:szCs w:val="24"/>
        </w:rPr>
      </w:pPr>
      <w:r w:rsidRPr="00A658E9">
        <w:rPr>
          <w:rFonts w:ascii="Times New Roman" w:hAnsi="Times New Roman"/>
          <w:sz w:val="24"/>
          <w:szCs w:val="24"/>
        </w:rPr>
        <w:t>внебюджетных источников на реализацию целей муниципальной программы города (тыс. руб.)</w:t>
      </w:r>
    </w:p>
    <w:p w:rsidR="00936F73" w:rsidRPr="00A658E9" w:rsidRDefault="00936F73" w:rsidP="007A6FC9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1061"/>
        <w:gridCol w:w="1041"/>
        <w:gridCol w:w="1085"/>
        <w:gridCol w:w="1135"/>
        <w:gridCol w:w="956"/>
        <w:gridCol w:w="1276"/>
        <w:gridCol w:w="1028"/>
        <w:gridCol w:w="1134"/>
        <w:gridCol w:w="1065"/>
      </w:tblGrid>
      <w:tr w:rsidR="00492379" w:rsidTr="00103828">
        <w:trPr>
          <w:trHeight w:val="43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bookmarkStart w:id="22" w:name="_Hlk26455973"/>
            <w:r>
              <w:rPr>
                <w:rFonts w:ascii="Times New Roman" w:hAnsi="Times New Roman"/>
                <w:bCs/>
                <w:color w:val="000000"/>
              </w:rPr>
              <w:t>№</w:t>
            </w:r>
            <w:r>
              <w:rPr>
                <w:rFonts w:ascii="Times New Roman" w:hAnsi="Times New Roman"/>
                <w:bCs/>
                <w:color w:val="000000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Наименование муниципальной программы, подпрограммы муниципальной программы, ведо</w:t>
            </w:r>
            <w:r>
              <w:rPr>
                <w:rFonts w:ascii="Times New Roman" w:hAnsi="Times New Roman"/>
                <w:bCs/>
                <w:color w:val="000000"/>
              </w:rPr>
              <w:t>м</w:t>
            </w:r>
            <w:r>
              <w:rPr>
                <w:rFonts w:ascii="Times New Roman" w:hAnsi="Times New Roman"/>
                <w:bCs/>
                <w:color w:val="000000"/>
              </w:rPr>
              <w:t>ственной целевой программы, о</w:t>
            </w:r>
            <w:r>
              <w:rPr>
                <w:rFonts w:ascii="Times New Roman" w:hAnsi="Times New Roman"/>
                <w:bCs/>
                <w:color w:val="000000"/>
              </w:rPr>
              <w:t>с</w:t>
            </w:r>
            <w:r>
              <w:rPr>
                <w:rFonts w:ascii="Times New Roman" w:hAnsi="Times New Roman"/>
                <w:bCs/>
                <w:color w:val="000000"/>
              </w:rPr>
              <w:t>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Источники ресурсного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обеспечения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руб.), год</w:t>
            </w:r>
          </w:p>
        </w:tc>
      </w:tr>
      <w:tr w:rsidR="00492379" w:rsidTr="00103828">
        <w:trPr>
          <w:trHeight w:val="9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379" w:rsidRDefault="00492379">
            <w:pPr>
              <w:pStyle w:val="af4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92379" w:rsidTr="00103828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«Развитие земельно-имущественного комплекса города Череповца» на 2014 – 2022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75836,3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104408,4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257476,3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123969,5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83 740,9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E075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41977,5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75836,3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104408,4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257476,3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123969,5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82 861,7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E075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44928,6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41977,5</w:t>
            </w:r>
          </w:p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665,3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>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2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1.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Формирование и обеспечение сохранности муниципального земельно-имущественного компле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са</w:t>
            </w:r>
            <w:r>
              <w:rPr>
                <w:rStyle w:val="aff2"/>
                <w:rFonts w:ascii="Times New Roman" w:hAnsi="Times New Roman"/>
                <w:color w:val="000000"/>
              </w:rPr>
              <w:endnoteReference w:customMarkFollows="1" w:id="3"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71111,5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65055,0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221860,8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92883,5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54 111,9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71111,5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65055,0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221860,8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92883,5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53 898,0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1.1. Проведение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дастровых работ и технической инвентаризации объектов </w:t>
            </w:r>
            <w:r>
              <w:rPr>
                <w:rFonts w:ascii="Times New Roman" w:hAnsi="Times New Roman"/>
                <w:color w:val="000000"/>
              </w:rPr>
              <w:lastRenderedPageBreak/>
              <w:t>недв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жимости, определение стоимости движимого и недвижимого им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щества и прав на него. 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  <w:r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359,8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1.2. Техническая инвентаризация и определение сто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мости дорог, сетей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1.3. Содержание имущества, входящего в состав муниципальной казны (оплата коммунальных услуг (пустующие нежилые помещения, входящие в состав муниципальной казны), оплата за содержание имущества, охрана имущества казны, утилиз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списанных объектов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ства, входящих в состав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 казны, хранение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 казны, текущий ремонт объектов, входящих в состав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 муниципальной казны), осв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бождение земельных участков.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8456,4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7084,6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4719,10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1.4. Приобретение и услуги финансовой аренды (л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зинга) специализированной техн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ки для содержания и ремонта улично-дорожной сети города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61613,4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57229,3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1.5. Организация сервитутов, мероприятий по изъ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тию земельных участков и объектов недвижимости для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пальных нужд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  <w:lang w:val="en-US"/>
              </w:rPr>
              <w:t>96</w:t>
            </w:r>
            <w:r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10 999,6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1.6. Организация хранения документов (услуги а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хива)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1.7. Выполнение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дастровых, топографо-геодезических и картографических работ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6257,4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6313,2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6257,4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6313,2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6786,1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1.8. Приобретение основных средств для организации и проведения выставочных 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приятий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1.9. Приобретение основных средств для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пальных нужд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1.10.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Компенсационная выплата, по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лежащая возмещению конценде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том концессионеру при расторж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нии концессионного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2.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Обеспечение поступлений в доход бюджета от использования и ра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поряжения земельно-имущественным комплексом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3865,4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2 939,3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3865,4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2 939,3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2.1. </w:t>
            </w:r>
            <w:bookmarkStart w:id="23" w:name="_Hlk26450526"/>
            <w:r>
              <w:rPr>
                <w:rFonts w:ascii="Times New Roman" w:hAnsi="Times New Roman"/>
                <w:color w:val="000000"/>
              </w:rPr>
              <w:t>Мероприятие 2.1. Проведение предпродажной подготовки земельных участков (права их аренды) и объектов 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движимости (прав на заключение договоров), публичных торгов по продаже объектов незавершенного строительства</w:t>
            </w:r>
            <w:bookmarkEnd w:id="23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2675,5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2.2. Получение спр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вок о доле в строении (при закл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чении договора аренды земельного участка)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2.3. Публикация и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формационных сообщений по 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ведению аукционов по продаже права на заключение договоров о размещении квасных бочек, по продаже права на заключение д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говоров о размещении мест то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 xml:space="preserve">говли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бахчевыми культурами на территории города, </w:t>
            </w:r>
            <w:r>
              <w:rPr>
                <w:rFonts w:ascii="Times New Roman" w:hAnsi="Times New Roman"/>
                <w:bCs/>
                <w:color w:val="000000"/>
              </w:rPr>
              <w:t>о возможности предоставления в аренду, со</w:t>
            </w:r>
            <w:r>
              <w:rPr>
                <w:rFonts w:ascii="Times New Roman" w:hAnsi="Times New Roman"/>
                <w:bCs/>
                <w:color w:val="000000"/>
              </w:rPr>
              <w:t>б</w:t>
            </w:r>
            <w:r>
              <w:rPr>
                <w:rFonts w:ascii="Times New Roman" w:hAnsi="Times New Roman"/>
                <w:bCs/>
                <w:color w:val="000000"/>
              </w:rPr>
              <w:t xml:space="preserve">ственность земельных участков, </w:t>
            </w:r>
            <w:r>
              <w:rPr>
                <w:rFonts w:ascii="Times New Roman" w:hAnsi="Times New Roman"/>
                <w:color w:val="000000"/>
              </w:rPr>
              <w:t>объявлений о необходимости сн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са металлических гаражей, кио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ков, павильонов. Определение стоимости движимого и недвиж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мого имущества, земельных учас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ков (при заключении договора аренды, концессионного соглаш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без проведения торов, конку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са).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2.4. </w:t>
            </w:r>
            <w:bookmarkStart w:id="24" w:name="_Hlk26450664"/>
            <w:r>
              <w:rPr>
                <w:rFonts w:ascii="Times New Roman" w:hAnsi="Times New Roman"/>
                <w:color w:val="000000"/>
              </w:rPr>
              <w:t>Ведение прете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зионно-исковой деятельности (в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платы по решению суда и админ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стративных штрафов, судебных расходов, расходов на выполнение работ, оказание услуг, осущест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иных расходов на основании определений (решений) суда, тр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бований налоговых органов, св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занных с владением, распоряжен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ем и использованием 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 xml:space="preserve">ного имущества, предоставлением земельных участков, находящихся в </w:t>
            </w:r>
            <w:r>
              <w:rPr>
                <w:rFonts w:ascii="Times New Roman" w:hAnsi="Times New Roman"/>
                <w:color w:val="000000"/>
              </w:rPr>
              <w:lastRenderedPageBreak/>
              <w:t>муниципальной собственности, земельных участков государстве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ная собственность на которые не разграничена)</w:t>
            </w:r>
            <w:bookmarkEnd w:id="24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1113,0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1 897,6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2.5. Разработка ставок арендной платы за использ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вание земельных участков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2.6.Формирование сведений о земельных участках, расположенных в пределах 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ципального образования, призн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ваемых объектом налогооблож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в соответствии со статьей 389 Налогового кодекса Российской Федерации (Выделение и оценка доли земельного участка под мн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гоквартирным жилым домом для исчисления земельного налога)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2.7. Оценка земел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 участков с целью оспаривания кадастровой стоимости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2.8. Разработка ст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вок арендной платы за размещение нестационарных объектов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3.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Обеспечение исполнения полномочий органа местного сам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управления в области наружной рекламы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Мероприятие 3.1. Выявление самовольных рекламных констру</w:t>
            </w:r>
            <w:r>
              <w:rPr>
                <w:rFonts w:ascii="Times New Roman" w:hAnsi="Times New Roman"/>
                <w:color w:val="00000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Cs w:val="20"/>
              </w:rPr>
              <w:t>ций, установленных на муниц</w:t>
            </w:r>
            <w:r>
              <w:rPr>
                <w:rFonts w:ascii="Times New Roman" w:hAnsi="Times New Roman"/>
                <w:color w:val="00000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Cs w:val="20"/>
              </w:rPr>
              <w:t>пальном недвижимом имуществе, принятие решения об их демонт</w:t>
            </w:r>
            <w:r>
              <w:rPr>
                <w:rFonts w:ascii="Times New Roman" w:hAnsi="Times New Roman"/>
                <w:color w:val="00000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Cs w:val="20"/>
              </w:rPr>
              <w:t>же и организация работ по демо</w:t>
            </w: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Cs w:val="20"/>
              </w:rPr>
              <w:t>тажу. Демонтаж рекламных ко</w:t>
            </w: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Cs w:val="20"/>
              </w:rPr>
              <w:t>струкций, установленных без ра</w:t>
            </w:r>
            <w:r>
              <w:rPr>
                <w:rFonts w:ascii="Times New Roman" w:hAnsi="Times New Roman"/>
                <w:color w:val="00000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Cs w:val="20"/>
              </w:rPr>
              <w:t>решения и с разрешением, срок действия которого истек, со всех объектов, в т.ч. находящихся в частной собственности, с посл</w:t>
            </w:r>
            <w:r>
              <w:rPr>
                <w:rFonts w:ascii="Times New Roman" w:hAnsi="Times New Roman"/>
                <w:color w:val="00000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Cs w:val="20"/>
              </w:rPr>
              <w:t>дующим возмещением расходов бюджета за счет владельцев р</w:t>
            </w:r>
            <w:r>
              <w:rPr>
                <w:rFonts w:ascii="Times New Roman" w:hAnsi="Times New Roman"/>
                <w:color w:val="00000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Cs w:val="20"/>
              </w:rPr>
              <w:t>кламных конструкций или со</w:t>
            </w:r>
            <w:r>
              <w:rPr>
                <w:rFonts w:ascii="Times New Roman" w:hAnsi="Times New Roman"/>
                <w:color w:val="00000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Cs w:val="20"/>
              </w:rPr>
              <w:t>ственников объектов недвижим</w:t>
            </w:r>
            <w:r>
              <w:rPr>
                <w:rFonts w:ascii="Times New Roman" w:hAnsi="Times New Roman"/>
                <w:color w:val="00000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Cs w:val="20"/>
              </w:rPr>
              <w:t>сти. Оценка и хранение демонт</w:t>
            </w:r>
            <w:r>
              <w:rPr>
                <w:rFonts w:ascii="Times New Roman" w:hAnsi="Times New Roman"/>
                <w:color w:val="00000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Cs w:val="20"/>
              </w:rPr>
              <w:t>рованных рекламных констру</w:t>
            </w:r>
            <w:r>
              <w:rPr>
                <w:rFonts w:ascii="Times New Roman" w:hAnsi="Times New Roman"/>
                <w:color w:val="00000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Cs w:val="20"/>
              </w:rPr>
              <w:t>ций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4. 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bookmarkStart w:id="25" w:name="_Hlk26450760"/>
            <w:r>
              <w:rPr>
                <w:rFonts w:ascii="Times New Roman" w:hAnsi="Times New Roman"/>
                <w:color w:val="000000"/>
              </w:rPr>
              <w:t>Обеспечение деятельности ком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тета по управлению имуществом</w:t>
            </w:r>
            <w:bookmarkEnd w:id="25"/>
            <w:r>
              <w:rPr>
                <w:rStyle w:val="ad"/>
                <w:rFonts w:ascii="Times New Roman" w:hAnsi="Times New Roman"/>
                <w:color w:val="000000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34881,2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27015,1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26 597,3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26144,9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34881,2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27015,1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25 932,0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26144,9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665,3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5.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Орган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зация проведения комплексных кадастровых работ в 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ном образовании «Город Череп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вец»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221,6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221,6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Основное мероприятие 6.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Обесп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чение выполнения отдельных 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номочий по управлению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ством.</w:t>
            </w: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E075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13648,2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10626,2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E075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13648,2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10626,2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6.1 Определение стоимости движимого и недвиж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мого имущества, в том числе об</w:t>
            </w:r>
            <w:r>
              <w:rPr>
                <w:rFonts w:ascii="Times New Roman" w:hAnsi="Times New Roman"/>
                <w:color w:val="000000"/>
              </w:rPr>
              <w:t>ъ</w:t>
            </w:r>
            <w:r>
              <w:rPr>
                <w:rFonts w:ascii="Times New Roman" w:hAnsi="Times New Roman"/>
                <w:color w:val="000000"/>
              </w:rPr>
              <w:t>ектов незавершенного строител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ства, земельных участков и прав на него, размера убытков, причиня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мых изъятием земельных участков и объектов недвижимости для 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ниципальных нужд.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721,5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6.2 Публикация информационных сообщений в оф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циальных печатных изданиях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1124,5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6.3 Проведение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дастровых работ и технической инвентаризации объектов недв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345,7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6.4 Получение спр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вок о доле в строении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6.5 Ведение прете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зионно-исковой деятельности (в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платы по решению суда и админ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стративных штрафов, судебных расходов, расходов на </w:t>
            </w:r>
            <w:r>
              <w:rPr>
                <w:rFonts w:ascii="Times New Roman" w:hAnsi="Times New Roman"/>
                <w:color w:val="000000"/>
              </w:rPr>
              <w:lastRenderedPageBreak/>
              <w:t>выполнение работ, оказание услуг, осущест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ление иных расходов на основании определений (решений) суда, тр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бований налоговых органов, св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занных с владением, распоряжен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ем и использованием 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ного имущества, предоставлением земельных участков, находящихся в муниципальной собственности, земельных участков государстве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ная собственность на которые не разграничена)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1038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6.6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Выявление сам</w:t>
            </w:r>
            <w:r>
              <w:rPr>
                <w:rFonts w:ascii="Times New Roman" w:hAnsi="Times New Roman"/>
                <w:color w:val="00000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Cs w:val="20"/>
              </w:rPr>
              <w:t>вольных рекламных конструкций, установленных на муниципальном недвижимом имуществе, принятие решения об их демонтаже и орг</w:t>
            </w:r>
            <w:r>
              <w:rPr>
                <w:rFonts w:ascii="Times New Roman" w:hAnsi="Times New Roman"/>
                <w:color w:val="00000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Cs w:val="20"/>
              </w:rPr>
              <w:t>низация работ по демонтажу. Д</w:t>
            </w:r>
            <w:r>
              <w:rPr>
                <w:rFonts w:ascii="Times New Roman" w:hAnsi="Times New Roman"/>
                <w:color w:val="00000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Cs w:val="20"/>
              </w:rPr>
              <w:t>монтаж рекламных конструкций, установленных без разрешения и с разрешением, срок действия кот</w:t>
            </w:r>
            <w:r>
              <w:rPr>
                <w:rFonts w:ascii="Times New Roman" w:hAnsi="Times New Roman"/>
                <w:color w:val="00000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Cs w:val="20"/>
              </w:rPr>
              <w:t>рого истек, со всех объектов, в т.ч. находящихся в частной собстве</w:t>
            </w: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Cs w:val="20"/>
              </w:rPr>
              <w:t>ности, с последующим возмещ</w:t>
            </w:r>
            <w:r>
              <w:rPr>
                <w:rFonts w:ascii="Times New Roman" w:hAnsi="Times New Roman"/>
                <w:color w:val="00000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Cs w:val="20"/>
              </w:rPr>
              <w:t>нием расходов бюджета за счет владельцев рекламных констру</w:t>
            </w:r>
            <w:r>
              <w:rPr>
                <w:rFonts w:ascii="Times New Roman" w:hAnsi="Times New Roman"/>
                <w:color w:val="00000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ций или собственников </w:t>
            </w: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объектов недвижимости.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92,4</w:t>
            </w:r>
          </w:p>
        </w:tc>
      </w:tr>
      <w:tr w:rsidR="00492379" w:rsidTr="00103828">
        <w:trPr>
          <w:trHeight w:val="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6" w:name="_GoBack"/>
            <w:r>
              <w:rPr>
                <w:rFonts w:ascii="Times New Roman" w:hAnsi="Times New Roman"/>
                <w:color w:val="000000"/>
              </w:rPr>
              <w:lastRenderedPageBreak/>
              <w:t>6.7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6.7 Выполнение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дастровых, топографо-геодезических и картографических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BA4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7324,0</w:t>
            </w:r>
          </w:p>
        </w:tc>
      </w:tr>
      <w:bookmarkEnd w:id="26"/>
      <w:tr w:rsidR="00492379" w:rsidTr="00103828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BA4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7324,0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6.8 Выплата возм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щений собственникам, причине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ных изъятием земельных участков, объектов недвижимости для 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</w:t>
            </w:r>
          </w:p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6.9 Разработка 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вок арендной платы в отношении земельных участков, находящихся в муниципальной собственности, а также земельных участков,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дарственная собственность на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торые не разграничена.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6.10 Размещение информационных сообщений на радио и интернет-ресурсах.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92379" w:rsidTr="00103828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Основное мероприятие 7. Соде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жание имущества казны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5 783,</w:t>
            </w:r>
            <w:r w:rsidR="0010382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5135,5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5206,4</w:t>
            </w:r>
          </w:p>
        </w:tc>
      </w:tr>
      <w:tr w:rsidR="00492379" w:rsidTr="00103828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5 783,</w:t>
            </w:r>
            <w:r w:rsidR="0010382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5135,5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5206,4</w:t>
            </w:r>
          </w:p>
        </w:tc>
      </w:tr>
      <w:tr w:rsidR="00492379" w:rsidTr="00103828">
        <w:trPr>
          <w:trHeight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внебюдже</w:t>
            </w:r>
            <w:r>
              <w:rPr>
                <w:rFonts w:ascii="Times New Roman" w:hAnsi="Times New Roman"/>
                <w:bCs/>
                <w:color w:val="000000"/>
              </w:rPr>
              <w:t>т</w:t>
            </w:r>
            <w:r>
              <w:rPr>
                <w:rFonts w:ascii="Times New Roman" w:hAnsi="Times New Roman"/>
                <w:bCs/>
                <w:color w:val="000000"/>
              </w:rPr>
              <w:t>ные источн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>
              <w:rPr>
                <w:rFonts w:ascii="Times New Roman" w:hAnsi="Times New Roman"/>
                <w:bCs/>
                <w:color w:val="000000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92379" w:rsidTr="001038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2379" w:rsidRDefault="004923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Мероприятие 7.1 Содержание имущества, входящего в состав муниципальной казны (оплата коммунальных услуг (пустующие нежилые помещения, входящие в состав муниципальной казны), оплата за содержание имущества, охрана имущества казны, утилиз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ция списанных объектов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ства, входящих в состав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 казны, хранение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 казны, текущий ремонт объектов, входящих в состав имущ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ства муниципальной казны.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5 783,</w:t>
            </w:r>
            <w:r w:rsidR="0010382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5135,5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2379" w:rsidRDefault="00492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5206,4</w:t>
            </w:r>
          </w:p>
        </w:tc>
        <w:bookmarkEnd w:id="22"/>
      </w:tr>
    </w:tbl>
    <w:p w:rsidR="00B92C57" w:rsidRPr="00A658E9" w:rsidRDefault="00B92C57" w:rsidP="007A6FC9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B92C57" w:rsidRPr="00A658E9" w:rsidSect="00E34504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DF" w:rsidRDefault="00F808DF" w:rsidP="002B4E95">
      <w:pPr>
        <w:spacing w:after="0" w:line="240" w:lineRule="auto"/>
      </w:pPr>
      <w:r>
        <w:separator/>
      </w:r>
    </w:p>
  </w:endnote>
  <w:endnote w:type="continuationSeparator" w:id="0">
    <w:p w:rsidR="00F808DF" w:rsidRDefault="00F808DF" w:rsidP="002B4E95">
      <w:pPr>
        <w:spacing w:after="0" w:line="240" w:lineRule="auto"/>
      </w:pPr>
      <w:r>
        <w:continuationSeparator/>
      </w:r>
    </w:p>
  </w:endnote>
  <w:endnote w:id="1">
    <w:p w:rsidR="004C2E76" w:rsidRDefault="004C2E76" w:rsidP="00CB25E0">
      <w:pPr>
        <w:pStyle w:val="aff0"/>
        <w:spacing w:after="0"/>
      </w:pPr>
      <w:r>
        <w:rPr>
          <w:rStyle w:val="aff2"/>
        </w:rPr>
        <w:t>12</w:t>
      </w:r>
      <w:r>
        <w:t xml:space="preserve"> </w:t>
      </w:r>
      <w:r>
        <w:rPr>
          <w:rFonts w:ascii="Times New Roman" w:hAnsi="Times New Roman"/>
        </w:rPr>
        <w:t>Показатель не рассчитывается после 2019 года.</w:t>
      </w:r>
    </w:p>
  </w:endnote>
  <w:endnote w:id="2">
    <w:p w:rsidR="004C2E76" w:rsidRDefault="004C2E76" w:rsidP="00492379">
      <w:pPr>
        <w:pStyle w:val="aff0"/>
        <w:spacing w:after="0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Мероприятие реализовывалось до 2019 года.</w:t>
      </w:r>
    </w:p>
    <w:p w:rsidR="004C2E76" w:rsidRDefault="004C2E76" w:rsidP="00492379">
      <w:pPr>
        <w:pStyle w:val="aff0"/>
        <w:spacing w:after="0"/>
        <w:rPr>
          <w:rFonts w:ascii="Times New Roman" w:hAnsi="Times New Roman"/>
        </w:rPr>
      </w:pPr>
    </w:p>
  </w:endnote>
  <w:endnote w:id="3">
    <w:p w:rsidR="004C2E76" w:rsidRDefault="004C2E76" w:rsidP="00492379">
      <w:pPr>
        <w:pStyle w:val="aff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76" w:rsidRDefault="004C2E76">
    <w:pPr>
      <w:pStyle w:val="af0"/>
      <w:jc w:val="center"/>
    </w:pPr>
  </w:p>
  <w:p w:rsidR="004C2E76" w:rsidRDefault="004C2E7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DF" w:rsidRDefault="00F808DF" w:rsidP="002B4E95">
      <w:pPr>
        <w:spacing w:after="0" w:line="240" w:lineRule="auto"/>
      </w:pPr>
      <w:r>
        <w:separator/>
      </w:r>
    </w:p>
  </w:footnote>
  <w:footnote w:type="continuationSeparator" w:id="0">
    <w:p w:rsidR="00F808DF" w:rsidRDefault="00F808DF" w:rsidP="002B4E95">
      <w:pPr>
        <w:spacing w:after="0" w:line="240" w:lineRule="auto"/>
      </w:pPr>
      <w:r>
        <w:continuationSeparator/>
      </w:r>
    </w:p>
  </w:footnote>
  <w:footnote w:id="1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2017 года – с учетом объектов, включенных в реестр муниципального жилищного фонда.</w:t>
      </w:r>
    </w:p>
  </w:footnote>
  <w:footnote w:id="2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увеличение показателя связано с отражением в реестре муниципального имущества объектов  стоимостью менее 3 тыс. руб. в соответствии с требованиями действу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>щего законодательства</w:t>
      </w:r>
    </w:p>
    <w:p w:rsidR="004C2E76" w:rsidRDefault="004C2E76" w:rsidP="00CB25E0">
      <w:pPr>
        <w:pStyle w:val="ab"/>
      </w:pPr>
    </w:p>
  </w:footnote>
  <w:footnote w:id="3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 01.01.2015 данный показатель также включал плату за наем муниципальных жилых помещений.</w:t>
      </w:r>
    </w:p>
  </w:footnote>
  <w:footnote w:id="4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>До 01.01.2015 данный показатель также включал плату за наем муниципальных жилых помещений.</w:t>
      </w:r>
    </w:p>
  </w:footnote>
  <w:footnote w:id="5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Определяется после утверждения Прогнозного плана приватизации муниципального имущества (ежегодно до 31.12)</w:t>
      </w:r>
    </w:p>
  </w:footnote>
  <w:footnote w:id="6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Указано значение показателя на 31.12.2014. </w:t>
      </w:r>
    </w:p>
  </w:footnote>
  <w:footnote w:id="7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учитывается число договоров о размещении нестационарных объектов торговли, действующих в отчетном периоде.</w:t>
      </w:r>
    </w:p>
  </w:footnote>
  <w:footnote w:id="8">
    <w:p w:rsidR="004C2E76" w:rsidRDefault="004C2E76" w:rsidP="00CB25E0">
      <w:pPr>
        <w:pStyle w:val="ab"/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 показатель рассчитывается накопительным методом.</w:t>
      </w:r>
    </w:p>
  </w:footnote>
  <w:footnote w:id="9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данный показатель  рассчитывается накопительным методом с учетом данных с 2015 года.</w:t>
      </w:r>
    </w:p>
  </w:footnote>
  <w:footnote w:id="10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Значения показателя за 2012 - 2013 год, плановые значения на 2014, 2015 годы указаны </w:t>
      </w:r>
      <w:proofErr w:type="spellStart"/>
      <w:r>
        <w:rPr>
          <w:rFonts w:ascii="Times New Roman" w:hAnsi="Times New Roman"/>
        </w:rPr>
        <w:t>справочно</w:t>
      </w:r>
      <w:proofErr w:type="spellEnd"/>
      <w:r>
        <w:rPr>
          <w:rFonts w:ascii="Times New Roman" w:hAnsi="Times New Roman"/>
        </w:rPr>
        <w:t>, мероприятие реализуется с 2016 года</w:t>
      </w:r>
    </w:p>
  </w:footnote>
  <w:footnote w:id="11">
    <w:p w:rsidR="004C2E76" w:rsidRDefault="004C2E76" w:rsidP="00CB25E0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Показатель введен с 2017 года. С 2020 года планируется изменить методику расчета данного показателя.</w:t>
      </w:r>
    </w:p>
  </w:footnote>
  <w:footnote w:id="12">
    <w:p w:rsidR="004C2E76" w:rsidRDefault="004C2E76" w:rsidP="00492379">
      <w:pPr>
        <w:pStyle w:val="ab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наименование мероприятия изложено в новой редакции. До 2019 года включительно наименование мероприятия «</w:t>
      </w:r>
      <w:r>
        <w:rPr>
          <w:rFonts w:ascii="Times New Roman" w:hAnsi="Times New Roman"/>
          <w:color w:val="000000"/>
        </w:rPr>
        <w:t>Организация работ по реализации ц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лей, задач комитета, выполнению его функциональных обязанностей и реализации муниципальной программы»</w:t>
      </w:r>
    </w:p>
  </w:footnote>
  <w:footnote w:id="13">
    <w:p w:rsidR="004C2E76" w:rsidRDefault="004C2E76" w:rsidP="00492379">
      <w:pPr>
        <w:pStyle w:val="ab"/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наименование основного мероприятия 4 изложено в новой редакции. До 2019 года включительно наименование мероприятия «</w:t>
      </w:r>
      <w:r>
        <w:rPr>
          <w:rFonts w:ascii="Times New Roman" w:hAnsi="Times New Roman"/>
          <w:color w:val="000000"/>
        </w:rPr>
        <w:t>Организация работ по ре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лизации целей, задач комитета, выполнению его функциональных обязанностей и реализации муниципальной программы»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76" w:rsidRPr="00C87794" w:rsidRDefault="004C2E76">
    <w:pPr>
      <w:pStyle w:val="ae"/>
      <w:jc w:val="center"/>
      <w:rPr>
        <w:rFonts w:ascii="Times New Roman" w:hAnsi="Times New Roman"/>
        <w:sz w:val="24"/>
        <w:szCs w:val="24"/>
      </w:rPr>
    </w:pPr>
    <w:r w:rsidRPr="00C87794">
      <w:rPr>
        <w:rFonts w:ascii="Times New Roman" w:hAnsi="Times New Roman"/>
        <w:sz w:val="24"/>
        <w:szCs w:val="24"/>
      </w:rPr>
      <w:fldChar w:fldCharType="begin"/>
    </w:r>
    <w:r w:rsidRPr="00C87794">
      <w:rPr>
        <w:rFonts w:ascii="Times New Roman" w:hAnsi="Times New Roman"/>
        <w:sz w:val="24"/>
        <w:szCs w:val="24"/>
      </w:rPr>
      <w:instrText xml:space="preserve"> PAGE   \* MERGEFORMAT </w:instrText>
    </w:r>
    <w:r w:rsidRPr="00C87794">
      <w:rPr>
        <w:rFonts w:ascii="Times New Roman" w:hAnsi="Times New Roman"/>
        <w:sz w:val="24"/>
        <w:szCs w:val="24"/>
      </w:rPr>
      <w:fldChar w:fldCharType="separate"/>
    </w:r>
    <w:r w:rsidR="00B51FF0">
      <w:rPr>
        <w:rFonts w:ascii="Times New Roman" w:hAnsi="Times New Roman"/>
        <w:noProof/>
        <w:sz w:val="24"/>
        <w:szCs w:val="24"/>
      </w:rPr>
      <w:t>12</w:t>
    </w:r>
    <w:r w:rsidRPr="00C87794">
      <w:rPr>
        <w:rFonts w:ascii="Times New Roman" w:hAnsi="Times New Roman"/>
        <w:sz w:val="24"/>
        <w:szCs w:val="24"/>
      </w:rPr>
      <w:fldChar w:fldCharType="end"/>
    </w:r>
  </w:p>
  <w:p w:rsidR="004C2E76" w:rsidRDefault="004C2E7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F5"/>
    <w:multiLevelType w:val="multilevel"/>
    <w:tmpl w:val="86A61A68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bullet"/>
      <w:lvlText w:val=""/>
      <w:lvlJc w:val="left"/>
      <w:pPr>
        <w:ind w:left="780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168" w:hanging="360"/>
      </w:pPr>
    </w:lvl>
    <w:lvl w:ilvl="3">
      <w:start w:val="1"/>
      <w:numFmt w:val="decimal"/>
      <w:lvlText w:val="(%4)"/>
      <w:lvlJc w:val="left"/>
      <w:pPr>
        <w:ind w:left="8528" w:hanging="360"/>
      </w:pPr>
    </w:lvl>
    <w:lvl w:ilvl="4">
      <w:start w:val="1"/>
      <w:numFmt w:val="lowerLetter"/>
      <w:lvlText w:val="(%5)"/>
      <w:lvlJc w:val="left"/>
      <w:pPr>
        <w:ind w:left="8888" w:hanging="360"/>
      </w:pPr>
    </w:lvl>
    <w:lvl w:ilvl="5">
      <w:start w:val="1"/>
      <w:numFmt w:val="lowerRoman"/>
      <w:lvlText w:val="(%6)"/>
      <w:lvlJc w:val="left"/>
      <w:pPr>
        <w:ind w:left="9248" w:hanging="360"/>
      </w:pPr>
    </w:lvl>
    <w:lvl w:ilvl="6">
      <w:start w:val="1"/>
      <w:numFmt w:val="decimal"/>
      <w:lvlText w:val="%7."/>
      <w:lvlJc w:val="left"/>
      <w:pPr>
        <w:ind w:left="9608" w:hanging="360"/>
      </w:pPr>
    </w:lvl>
    <w:lvl w:ilvl="7">
      <w:start w:val="1"/>
      <w:numFmt w:val="lowerLetter"/>
      <w:lvlText w:val="%8."/>
      <w:lvlJc w:val="left"/>
      <w:pPr>
        <w:ind w:left="9968" w:hanging="360"/>
      </w:pPr>
    </w:lvl>
    <w:lvl w:ilvl="8">
      <w:start w:val="1"/>
      <w:numFmt w:val="lowerRoman"/>
      <w:lvlText w:val="%9."/>
      <w:lvlJc w:val="left"/>
      <w:pPr>
        <w:ind w:left="10328" w:hanging="360"/>
      </w:pPr>
    </w:lvl>
  </w:abstractNum>
  <w:abstractNum w:abstractNumId="1">
    <w:nsid w:val="01FA0133"/>
    <w:multiLevelType w:val="multilevel"/>
    <w:tmpl w:val="86A61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0C22DB"/>
    <w:multiLevelType w:val="hybridMultilevel"/>
    <w:tmpl w:val="74182BFC"/>
    <w:lvl w:ilvl="0" w:tplc="A58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B0C46"/>
    <w:multiLevelType w:val="hybridMultilevel"/>
    <w:tmpl w:val="28362516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07802"/>
    <w:multiLevelType w:val="hybridMultilevel"/>
    <w:tmpl w:val="6B4A7518"/>
    <w:lvl w:ilvl="0" w:tplc="E00CD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7420C"/>
    <w:multiLevelType w:val="hybridMultilevel"/>
    <w:tmpl w:val="4628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05C20"/>
    <w:multiLevelType w:val="hybridMultilevel"/>
    <w:tmpl w:val="E5BC07B4"/>
    <w:lvl w:ilvl="0" w:tplc="8ABCB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77281"/>
    <w:multiLevelType w:val="hybridMultilevel"/>
    <w:tmpl w:val="17B62108"/>
    <w:lvl w:ilvl="0" w:tplc="B59CB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4E2BF7"/>
    <w:multiLevelType w:val="hybridMultilevel"/>
    <w:tmpl w:val="AE7E94A0"/>
    <w:lvl w:ilvl="0" w:tplc="A4BC3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B76C2E"/>
    <w:multiLevelType w:val="hybridMultilevel"/>
    <w:tmpl w:val="F4B21CD0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50133"/>
    <w:multiLevelType w:val="hybridMultilevel"/>
    <w:tmpl w:val="767AB960"/>
    <w:lvl w:ilvl="0" w:tplc="EEAAA5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50840"/>
    <w:multiLevelType w:val="multilevel"/>
    <w:tmpl w:val="BFA0EFF6"/>
    <w:numStyleLink w:val="1"/>
  </w:abstractNum>
  <w:abstractNum w:abstractNumId="12">
    <w:nsid w:val="2F8965AE"/>
    <w:multiLevelType w:val="multilevel"/>
    <w:tmpl w:val="55ECA7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F9D5DA1"/>
    <w:multiLevelType w:val="hybridMultilevel"/>
    <w:tmpl w:val="6512D802"/>
    <w:lvl w:ilvl="0" w:tplc="EEAAA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23C36"/>
    <w:multiLevelType w:val="hybridMultilevel"/>
    <w:tmpl w:val="3864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C0488"/>
    <w:multiLevelType w:val="hybridMultilevel"/>
    <w:tmpl w:val="1C44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2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7F3F1D"/>
    <w:multiLevelType w:val="hybridMultilevel"/>
    <w:tmpl w:val="17384194"/>
    <w:lvl w:ilvl="0" w:tplc="EEAAA5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248CA"/>
    <w:multiLevelType w:val="multilevel"/>
    <w:tmpl w:val="55ECA7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1855A4B"/>
    <w:multiLevelType w:val="hybridMultilevel"/>
    <w:tmpl w:val="8B5257FA"/>
    <w:lvl w:ilvl="0" w:tplc="A582E7C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2621C"/>
    <w:multiLevelType w:val="hybridMultilevel"/>
    <w:tmpl w:val="5282AA1C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758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870AB2"/>
    <w:multiLevelType w:val="hybridMultilevel"/>
    <w:tmpl w:val="DA56C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468E4"/>
    <w:multiLevelType w:val="hybridMultilevel"/>
    <w:tmpl w:val="7870E130"/>
    <w:lvl w:ilvl="0" w:tplc="5D54B4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9B73622"/>
    <w:multiLevelType w:val="hybridMultilevel"/>
    <w:tmpl w:val="085AB5E6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945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6F114A"/>
    <w:multiLevelType w:val="hybridMultilevel"/>
    <w:tmpl w:val="6BC6F944"/>
    <w:lvl w:ilvl="0" w:tplc="208C0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CA703F"/>
    <w:multiLevelType w:val="hybridMultilevel"/>
    <w:tmpl w:val="6BC6F944"/>
    <w:lvl w:ilvl="0" w:tplc="208C0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021BFF"/>
    <w:multiLevelType w:val="hybridMultilevel"/>
    <w:tmpl w:val="59A68990"/>
    <w:lvl w:ilvl="0" w:tplc="A58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6B0778"/>
    <w:multiLevelType w:val="hybridMultilevel"/>
    <w:tmpl w:val="627E1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D22FE2"/>
    <w:multiLevelType w:val="hybridMultilevel"/>
    <w:tmpl w:val="4806861C"/>
    <w:lvl w:ilvl="0" w:tplc="A582E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B581B"/>
    <w:multiLevelType w:val="hybridMultilevel"/>
    <w:tmpl w:val="7B68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957F0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DAB5D1E"/>
    <w:multiLevelType w:val="hybridMultilevel"/>
    <w:tmpl w:val="41EC450C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F4AEC"/>
    <w:multiLevelType w:val="multilevel"/>
    <w:tmpl w:val="BFA0EFF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8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24"/>
  </w:num>
  <w:num w:numId="15">
    <w:abstractNumId w:val="33"/>
  </w:num>
  <w:num w:numId="16">
    <w:abstractNumId w:val="4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2"/>
  </w:num>
  <w:num w:numId="24">
    <w:abstractNumId w:val="5"/>
  </w:num>
  <w:num w:numId="25">
    <w:abstractNumId w:val="34"/>
  </w:num>
  <w:num w:numId="26">
    <w:abstractNumId w:val="11"/>
  </w:num>
  <w:num w:numId="27">
    <w:abstractNumId w:val="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</w:num>
  <w:num w:numId="32">
    <w:abstractNumId w:val="29"/>
  </w:num>
  <w:num w:numId="33">
    <w:abstractNumId w:val="9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7"/>
  </w:num>
  <w:num w:numId="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2FC"/>
    <w:rsid w:val="0000346F"/>
    <w:rsid w:val="000044FA"/>
    <w:rsid w:val="00006515"/>
    <w:rsid w:val="00020573"/>
    <w:rsid w:val="00052028"/>
    <w:rsid w:val="00061F55"/>
    <w:rsid w:val="00074751"/>
    <w:rsid w:val="00091976"/>
    <w:rsid w:val="000A1875"/>
    <w:rsid w:val="000B1BF7"/>
    <w:rsid w:val="000B7F5D"/>
    <w:rsid w:val="000D065E"/>
    <w:rsid w:val="000D694B"/>
    <w:rsid w:val="000E2D2D"/>
    <w:rsid w:val="00103828"/>
    <w:rsid w:val="00115F0C"/>
    <w:rsid w:val="001169CC"/>
    <w:rsid w:val="00120493"/>
    <w:rsid w:val="00122096"/>
    <w:rsid w:val="00180E30"/>
    <w:rsid w:val="0019601A"/>
    <w:rsid w:val="001A4766"/>
    <w:rsid w:val="001C2942"/>
    <w:rsid w:val="001D1B69"/>
    <w:rsid w:val="001D1D25"/>
    <w:rsid w:val="001F7865"/>
    <w:rsid w:val="002158E8"/>
    <w:rsid w:val="00223917"/>
    <w:rsid w:val="002500C8"/>
    <w:rsid w:val="00287432"/>
    <w:rsid w:val="0029615B"/>
    <w:rsid w:val="002A2154"/>
    <w:rsid w:val="002B04EA"/>
    <w:rsid w:val="002B4E95"/>
    <w:rsid w:val="002C0FA9"/>
    <w:rsid w:val="002F4FF1"/>
    <w:rsid w:val="00384D73"/>
    <w:rsid w:val="00397D12"/>
    <w:rsid w:val="003B06DC"/>
    <w:rsid w:val="003E13B4"/>
    <w:rsid w:val="003E5A1E"/>
    <w:rsid w:val="003E73F5"/>
    <w:rsid w:val="003F0BC8"/>
    <w:rsid w:val="003F19CB"/>
    <w:rsid w:val="00416488"/>
    <w:rsid w:val="00422DB0"/>
    <w:rsid w:val="004469C9"/>
    <w:rsid w:val="004666F0"/>
    <w:rsid w:val="00492379"/>
    <w:rsid w:val="004B0E2A"/>
    <w:rsid w:val="004C2E76"/>
    <w:rsid w:val="004E1129"/>
    <w:rsid w:val="004F7608"/>
    <w:rsid w:val="005048EE"/>
    <w:rsid w:val="0053448E"/>
    <w:rsid w:val="005457FE"/>
    <w:rsid w:val="005739A6"/>
    <w:rsid w:val="00577C7D"/>
    <w:rsid w:val="005A2C8D"/>
    <w:rsid w:val="005C6B16"/>
    <w:rsid w:val="005D4279"/>
    <w:rsid w:val="005F2412"/>
    <w:rsid w:val="005F2E7F"/>
    <w:rsid w:val="005F4FDD"/>
    <w:rsid w:val="006064A7"/>
    <w:rsid w:val="00632925"/>
    <w:rsid w:val="00635A73"/>
    <w:rsid w:val="00640494"/>
    <w:rsid w:val="00690754"/>
    <w:rsid w:val="00695561"/>
    <w:rsid w:val="006E0F8E"/>
    <w:rsid w:val="0070527C"/>
    <w:rsid w:val="0071386A"/>
    <w:rsid w:val="007321BD"/>
    <w:rsid w:val="00735228"/>
    <w:rsid w:val="0074085F"/>
    <w:rsid w:val="00752BBD"/>
    <w:rsid w:val="007606A4"/>
    <w:rsid w:val="007A6FC9"/>
    <w:rsid w:val="007D1F67"/>
    <w:rsid w:val="00816F52"/>
    <w:rsid w:val="00827E33"/>
    <w:rsid w:val="00872A2D"/>
    <w:rsid w:val="00886E9D"/>
    <w:rsid w:val="008D1D47"/>
    <w:rsid w:val="008E3713"/>
    <w:rsid w:val="008E4AE7"/>
    <w:rsid w:val="009110F6"/>
    <w:rsid w:val="00936A11"/>
    <w:rsid w:val="00936F73"/>
    <w:rsid w:val="00965D72"/>
    <w:rsid w:val="0097337E"/>
    <w:rsid w:val="009836D9"/>
    <w:rsid w:val="009D55DA"/>
    <w:rsid w:val="009D75ED"/>
    <w:rsid w:val="009F5739"/>
    <w:rsid w:val="00A02147"/>
    <w:rsid w:val="00A022FC"/>
    <w:rsid w:val="00A06F14"/>
    <w:rsid w:val="00A12015"/>
    <w:rsid w:val="00A22521"/>
    <w:rsid w:val="00A348B8"/>
    <w:rsid w:val="00A34971"/>
    <w:rsid w:val="00A510A2"/>
    <w:rsid w:val="00A658E9"/>
    <w:rsid w:val="00AB0AD8"/>
    <w:rsid w:val="00AB6E68"/>
    <w:rsid w:val="00AD60A3"/>
    <w:rsid w:val="00AE00EC"/>
    <w:rsid w:val="00B05517"/>
    <w:rsid w:val="00B33341"/>
    <w:rsid w:val="00B40C35"/>
    <w:rsid w:val="00B51FF0"/>
    <w:rsid w:val="00B84598"/>
    <w:rsid w:val="00B85217"/>
    <w:rsid w:val="00B86116"/>
    <w:rsid w:val="00B92C57"/>
    <w:rsid w:val="00BA43E9"/>
    <w:rsid w:val="00BD080A"/>
    <w:rsid w:val="00BE2158"/>
    <w:rsid w:val="00BF42C7"/>
    <w:rsid w:val="00C2057C"/>
    <w:rsid w:val="00C35B99"/>
    <w:rsid w:val="00C420F6"/>
    <w:rsid w:val="00C51E02"/>
    <w:rsid w:val="00C55B2A"/>
    <w:rsid w:val="00C706FC"/>
    <w:rsid w:val="00C809EB"/>
    <w:rsid w:val="00C83AA7"/>
    <w:rsid w:val="00CA1D63"/>
    <w:rsid w:val="00CB25E0"/>
    <w:rsid w:val="00CC1B77"/>
    <w:rsid w:val="00CD3B07"/>
    <w:rsid w:val="00CF67FB"/>
    <w:rsid w:val="00D0615F"/>
    <w:rsid w:val="00D104E4"/>
    <w:rsid w:val="00D256CF"/>
    <w:rsid w:val="00D26AA7"/>
    <w:rsid w:val="00D573BA"/>
    <w:rsid w:val="00D65DA8"/>
    <w:rsid w:val="00D7522B"/>
    <w:rsid w:val="00D971E6"/>
    <w:rsid w:val="00DB42FE"/>
    <w:rsid w:val="00DD4EE9"/>
    <w:rsid w:val="00E07521"/>
    <w:rsid w:val="00E34504"/>
    <w:rsid w:val="00E84799"/>
    <w:rsid w:val="00EB712E"/>
    <w:rsid w:val="00EC44A4"/>
    <w:rsid w:val="00EF1AFC"/>
    <w:rsid w:val="00F02ECC"/>
    <w:rsid w:val="00F10EF1"/>
    <w:rsid w:val="00F11603"/>
    <w:rsid w:val="00F20617"/>
    <w:rsid w:val="00F43E75"/>
    <w:rsid w:val="00F43ED9"/>
    <w:rsid w:val="00F808DF"/>
    <w:rsid w:val="00FA45F7"/>
    <w:rsid w:val="00FE438A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FC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link w:val="11"/>
    <w:uiPriority w:val="9"/>
    <w:qFormat/>
    <w:rsid w:val="002B4E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9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9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022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022FC"/>
    <w:rPr>
      <w:b/>
      <w:bCs/>
    </w:rPr>
  </w:style>
  <w:style w:type="character" w:customStyle="1" w:styleId="11">
    <w:name w:val="Заголовок 1 Знак"/>
    <w:link w:val="10"/>
    <w:uiPriority w:val="9"/>
    <w:rsid w:val="002B4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"/>
    <w:semiHidden/>
    <w:rsid w:val="002B4E9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2B4E95"/>
    <w:rPr>
      <w:rFonts w:ascii="Cambria" w:eastAsia="Times New Roman" w:hAnsi="Cambria" w:cs="Times New Roman"/>
      <w:color w:val="243F60"/>
      <w:lang w:eastAsia="ru-RU"/>
    </w:rPr>
  </w:style>
  <w:style w:type="character" w:customStyle="1" w:styleId="a5">
    <w:name w:val="Гипертекстовая ссылка"/>
    <w:uiPriority w:val="99"/>
    <w:rsid w:val="002B4E95"/>
    <w:rPr>
      <w:rFonts w:ascii="Times New Roman" w:hAnsi="Times New Roman" w:cs="Times New Roman" w:hint="default"/>
      <w:color w:val="106BBE"/>
    </w:rPr>
  </w:style>
  <w:style w:type="paragraph" w:styleId="a6">
    <w:name w:val="List Paragraph"/>
    <w:basedOn w:val="a"/>
    <w:uiPriority w:val="34"/>
    <w:qFormat/>
    <w:rsid w:val="002B4E95"/>
    <w:pPr>
      <w:ind w:left="720"/>
      <w:contextualSpacing/>
    </w:pPr>
  </w:style>
  <w:style w:type="paragraph" w:customStyle="1" w:styleId="ConsPlusNonformat">
    <w:name w:val="ConsPlusNonformat"/>
    <w:rsid w:val="002B4E9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7">
    <w:name w:val="Таблицы (моноширинный)"/>
    <w:basedOn w:val="a"/>
    <w:next w:val="a"/>
    <w:uiPriority w:val="99"/>
    <w:rsid w:val="002B4E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B4E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4E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2B4E9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2B4E9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link w:val="a9"/>
    <w:semiHidden/>
    <w:rsid w:val="002B4E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2B4E9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2B4E95"/>
    <w:rPr>
      <w:rFonts w:eastAsia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2B4E95"/>
    <w:rPr>
      <w:vertAlign w:val="superscript"/>
    </w:rPr>
  </w:style>
  <w:style w:type="paragraph" w:customStyle="1" w:styleId="xl38">
    <w:name w:val="xl38"/>
    <w:basedOn w:val="a"/>
    <w:uiPriority w:val="99"/>
    <w:rsid w:val="002B4E9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B4E9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2B4E9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2B4E9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rsid w:val="002B4E95"/>
    <w:rPr>
      <w:rFonts w:eastAsia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B4E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B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2B4E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5">
    <w:name w:val="Цветовое выделение"/>
    <w:uiPriority w:val="99"/>
    <w:rsid w:val="002B4E95"/>
    <w:rPr>
      <w:b/>
      <w:bCs w:val="0"/>
      <w:color w:val="26282F"/>
    </w:rPr>
  </w:style>
  <w:style w:type="numbering" w:customStyle="1" w:styleId="1">
    <w:name w:val="Стиль1"/>
    <w:uiPriority w:val="99"/>
    <w:rsid w:val="002B4E95"/>
    <w:pPr>
      <w:numPr>
        <w:numId w:val="25"/>
      </w:numPr>
    </w:pPr>
  </w:style>
  <w:style w:type="paragraph" w:customStyle="1" w:styleId="af6">
    <w:name w:val="Нормальный (таблица)"/>
    <w:basedOn w:val="a"/>
    <w:next w:val="a"/>
    <w:uiPriority w:val="99"/>
    <w:rsid w:val="002B4E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7">
    <w:name w:val="Placeholder Text"/>
    <w:uiPriority w:val="99"/>
    <w:semiHidden/>
    <w:rsid w:val="002B4E95"/>
    <w:rPr>
      <w:color w:val="808080"/>
    </w:rPr>
  </w:style>
  <w:style w:type="character" w:customStyle="1" w:styleId="about-time">
    <w:name w:val="about-time"/>
    <w:basedOn w:val="a0"/>
    <w:rsid w:val="002B4E95"/>
  </w:style>
  <w:style w:type="character" w:customStyle="1" w:styleId="about-eye-grey">
    <w:name w:val="about-eye-grey"/>
    <w:basedOn w:val="a0"/>
    <w:rsid w:val="002B4E95"/>
  </w:style>
  <w:style w:type="character" w:customStyle="1" w:styleId="about-heart-grey">
    <w:name w:val="about-heart-grey"/>
    <w:basedOn w:val="a0"/>
    <w:rsid w:val="002B4E95"/>
  </w:style>
  <w:style w:type="character" w:styleId="af8">
    <w:name w:val="Hyperlink"/>
    <w:uiPriority w:val="99"/>
    <w:unhideWhenUsed/>
    <w:rsid w:val="002B4E95"/>
    <w:rPr>
      <w:color w:val="0000FF"/>
      <w:u w:val="single"/>
    </w:rPr>
  </w:style>
  <w:style w:type="paragraph" w:styleId="af9">
    <w:name w:val="annotation text"/>
    <w:basedOn w:val="a"/>
    <w:link w:val="afa"/>
    <w:uiPriority w:val="99"/>
    <w:semiHidden/>
    <w:unhideWhenUsed/>
    <w:rsid w:val="002B4E9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2B4E95"/>
    <w:rPr>
      <w:rFonts w:eastAsia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2B4E95"/>
    <w:rPr>
      <w:sz w:val="16"/>
      <w:szCs w:val="16"/>
    </w:rPr>
  </w:style>
  <w:style w:type="character" w:styleId="afc">
    <w:name w:val="FollowedHyperlink"/>
    <w:uiPriority w:val="99"/>
    <w:semiHidden/>
    <w:unhideWhenUsed/>
    <w:rsid w:val="002B4E95"/>
    <w:rPr>
      <w:color w:val="800080"/>
      <w:u w:val="single"/>
    </w:rPr>
  </w:style>
  <w:style w:type="character" w:styleId="afd">
    <w:name w:val="line number"/>
    <w:basedOn w:val="a0"/>
    <w:uiPriority w:val="99"/>
    <w:semiHidden/>
    <w:unhideWhenUsed/>
    <w:rsid w:val="002B4E95"/>
  </w:style>
  <w:style w:type="paragraph" w:styleId="afe">
    <w:name w:val="annotation subject"/>
    <w:basedOn w:val="af9"/>
    <w:next w:val="af9"/>
    <w:link w:val="aff"/>
    <w:uiPriority w:val="99"/>
    <w:semiHidden/>
    <w:unhideWhenUsed/>
    <w:rsid w:val="002B4E95"/>
    <w:pPr>
      <w:spacing w:line="276" w:lineRule="auto"/>
    </w:pPr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2B4E9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2B4E95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2B4E9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rsid w:val="002B4E95"/>
    <w:rPr>
      <w:vertAlign w:val="superscript"/>
    </w:rPr>
  </w:style>
  <w:style w:type="paragraph" w:styleId="aff3">
    <w:name w:val="Document Map"/>
    <w:basedOn w:val="a"/>
    <w:link w:val="aff4"/>
    <w:uiPriority w:val="99"/>
    <w:semiHidden/>
    <w:unhideWhenUsed/>
    <w:rsid w:val="002B4E95"/>
    <w:rPr>
      <w:rFonts w:ascii="Tahoma" w:hAnsi="Tahoma"/>
      <w:sz w:val="16"/>
      <w:szCs w:val="16"/>
    </w:rPr>
  </w:style>
  <w:style w:type="character" w:customStyle="1" w:styleId="aff4">
    <w:name w:val="Схема документа Знак"/>
    <w:link w:val="aff3"/>
    <w:uiPriority w:val="99"/>
    <w:semiHidden/>
    <w:rsid w:val="002B4E9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f5">
    <w:basedOn w:val="a"/>
    <w:next w:val="a3"/>
    <w:unhideWhenUsed/>
    <w:rsid w:val="0093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6">
    <w:basedOn w:val="a"/>
    <w:next w:val="a3"/>
    <w:unhideWhenUsed/>
    <w:rsid w:val="00632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32925"/>
    <w:rPr>
      <w:color w:val="605E5C"/>
      <w:shd w:val="clear" w:color="auto" w:fill="E1DFDD"/>
    </w:rPr>
  </w:style>
  <w:style w:type="paragraph" w:customStyle="1" w:styleId="aff7">
    <w:basedOn w:val="a"/>
    <w:next w:val="a3"/>
    <w:unhideWhenUsed/>
    <w:rsid w:val="007A6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5D4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76AF-497C-49A2-9640-7A7779D8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mityushova.ys</dc:creator>
  <cp:lastModifiedBy>Юлия</cp:lastModifiedBy>
  <cp:revision>5</cp:revision>
  <cp:lastPrinted>2020-07-20T11:40:00Z</cp:lastPrinted>
  <dcterms:created xsi:type="dcterms:W3CDTF">2020-07-20T11:34:00Z</dcterms:created>
  <dcterms:modified xsi:type="dcterms:W3CDTF">2020-07-23T08:25:00Z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319232950</vt:i4>
  </property>
  <property fmtid="{D5CDD505-2E9C-101B-9397-08002B2CF9AE}" pid="3" name="_NewReviewCycle">
    <vt:lpwstr/>
  </property>
  <property fmtid="{D5CDD505-2E9C-101B-9397-08002B2CF9AE}" pid="4" name="_EmailSubject">
    <vt:lpwstr>ПР-3372 правки</vt:lpwstr>
  </property>
  <property fmtid="{D5CDD505-2E9C-101B-9397-08002B2CF9AE}" pid="5" name="_AuthorEmail">
    <vt:lpwstr>D_Boeva@cherepovetscity.ru</vt:lpwstr>
  </property>
  <property fmtid="{D5CDD505-2E9C-101B-9397-08002B2CF9AE}" pid="6" name="_AuthorEmailDisplayName">
    <vt:lpwstr>Боева Дарья Сергеевна</vt:lpwstr>
  </property>
  <property fmtid="{D5CDD505-2E9C-101B-9397-08002B2CF9AE}" pid="7" name="_ReviewingToolsShownOnce">
    <vt:lpwstr/>
  </property>
</Properties>
</file>